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5706D" w14:textId="5323F478" w:rsidR="00B51C53" w:rsidRPr="00B51C53" w:rsidRDefault="00B51C53" w:rsidP="00B51C53">
      <w:pPr>
        <w:rPr>
          <w:sz w:val="18"/>
          <w:szCs w:val="18"/>
        </w:rPr>
      </w:pP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BS’D</w:t>
      </w:r>
    </w:p>
    <w:p w14:paraId="2D252878" w14:textId="684B2348" w:rsidR="00B51C53" w:rsidRPr="00B51C53" w:rsidRDefault="00B51C53" w:rsidP="00B51C53">
      <w:pPr>
        <w:jc w:val="center"/>
        <w:rPr>
          <w:b/>
          <w:bCs/>
          <w:sz w:val="36"/>
          <w:szCs w:val="36"/>
          <w:u w:val="single"/>
        </w:rPr>
      </w:pPr>
      <w:r>
        <w:rPr>
          <w:b/>
          <w:bCs/>
          <w:sz w:val="36"/>
          <w:szCs w:val="36"/>
          <w:u w:val="single"/>
        </w:rPr>
        <w:t>Different Expressions of Nezirus</w:t>
      </w:r>
    </w:p>
    <w:p w14:paraId="0C1D1FD8" w14:textId="506DE272" w:rsidR="00B51C53" w:rsidRPr="00B51C53" w:rsidRDefault="00B51C53" w:rsidP="00B51C53">
      <w:pPr>
        <w:jc w:val="center"/>
        <w:rPr>
          <w:rFonts w:ascii="Times New Roman" w:hAnsi="Times New Roman" w:cs="Times New Roman"/>
          <w:b/>
          <w:bCs/>
          <w:sz w:val="28"/>
          <w:szCs w:val="28"/>
        </w:rPr>
      </w:pPr>
      <w:r>
        <w:rPr>
          <w:rFonts w:ascii="Times New Roman" w:hAnsi="Times New Roman" w:cs="Times New Roman"/>
          <w:b/>
          <w:bCs/>
          <w:sz w:val="28"/>
          <w:szCs w:val="28"/>
        </w:rPr>
        <w:t>Written in honor of the 7</w:t>
      </w:r>
      <w:r>
        <w:rPr>
          <w:rFonts w:ascii="Times New Roman" w:hAnsi="Times New Roman" w:cs="Times New Roman"/>
          <w:b/>
          <w:bCs/>
          <w:sz w:val="28"/>
          <w:szCs w:val="28"/>
          <w:vertAlign w:val="superscript"/>
        </w:rPr>
        <w:t>th</w:t>
      </w:r>
      <w:r>
        <w:rPr>
          <w:rFonts w:ascii="Times New Roman" w:hAnsi="Times New Roman" w:cs="Times New Roman"/>
          <w:b/>
          <w:bCs/>
          <w:sz w:val="28"/>
          <w:szCs w:val="28"/>
        </w:rPr>
        <w:t xml:space="preserve"> Yahrtzeit of Baruch Tzvi Galbut (The Eighth of Av)</w:t>
      </w:r>
    </w:p>
    <w:p w14:paraId="3E33A492" w14:textId="77777777" w:rsidR="00B51C53" w:rsidRDefault="00B51C53"/>
    <w:p w14:paraId="337D00D6" w14:textId="76F89588" w:rsidR="008107F0" w:rsidRDefault="00B51C53" w:rsidP="00605415">
      <w:pPr>
        <w:spacing w:line="360" w:lineRule="auto"/>
        <w:ind w:firstLine="720"/>
      </w:pPr>
      <w:r>
        <w:t xml:space="preserve">Typically, one can draw a </w:t>
      </w:r>
      <w:proofErr w:type="gramStart"/>
      <w:r>
        <w:t>fairly quick</w:t>
      </w:r>
      <w:proofErr w:type="gramEnd"/>
      <w:r>
        <w:t xml:space="preserve"> conclusion about the Torah’s perspective on any given halakhic category or form of behavior. Praise is heaped on the upstanding Jew and scorn on those who violate the dvar Hashem. A liar and a thief are usually frowned upon while acts of kindness are lionized. Perhaps the rare exception is the nazir, one who separates himself in dedication to a unique form of service of G-d. The nazir abstains from wine, haircutting, and exposure to ritual impurity, usually for thirty days, but sometimes in the case of a nazir Shimshon or a nazir olam, for as long as his/her natural life. </w:t>
      </w:r>
    </w:p>
    <w:p w14:paraId="58F7EF86" w14:textId="7B2F4D92" w:rsidR="00565F08" w:rsidRDefault="00565F08" w:rsidP="00605415">
      <w:pPr>
        <w:spacing w:line="360" w:lineRule="auto"/>
        <w:ind w:firstLine="720"/>
      </w:pPr>
      <w:r>
        <w:t xml:space="preserve">How do the Torah and Chazal perceive the nazirite? The answer is unclear. The uncertainty arises because the nazir is required, at the conclusion of his service, to bring a korban chattas, a sin offering, along with an olah and a shelamim. On this basis, Rebbe </w:t>
      </w:r>
      <w:r w:rsidR="00277015">
        <w:t>Elaza</w:t>
      </w:r>
      <w:r>
        <w:t>r Hakefar in a famous gemarah in Ta’anis 11a posits that the nazir is a choteh, a sinner, because he decided to abstain from physical pleasure. Rebbe Eleazar Hakefar uses this perspective about the nazir as a way of deducing that a person should shun asceticism and that by no means should a person take upon himself an unnecessary fast or other restrictions. The Torah, he argues, already limits certain behaviors, and it is inappropriate, and even prohibited, to take upon oneself more. This position is quoted in a number of places in Shas (Nazir 3a, Nazir 19a, Nedarim 10a and Bava Kamma 91b) and is accepted by a number of Rishonim.</w:t>
      </w:r>
    </w:p>
    <w:p w14:paraId="136EAC7D" w14:textId="3FB904D2" w:rsidR="00D5116F" w:rsidRDefault="00D5116F" w:rsidP="00605415">
      <w:pPr>
        <w:spacing w:line="360" w:lineRule="auto"/>
        <w:ind w:firstLine="720"/>
      </w:pPr>
      <w:r>
        <w:t xml:space="preserve">Conversely, Rebbe Elazar (not the same person as Rebbe Elazar Hakefar) in that same gemarah in Ta’anis argues the exact reverse. He posits that the nazir is a kadosh, and that one should be lauded for choosing to abstain from pleasure as a means of elevating his service of G-d. Far from being just a voice of support for the nazir, Rebbe Elazar and his school see this as a paradigm that one should live a life of abstinence and that voluntary </w:t>
      </w:r>
      <w:r>
        <w:lastRenderedPageBreak/>
        <w:t>fasting and the like is ideal. Echoes of this fundamental debate can be seen throughout Shas and the Rishonim, including in Chazal’s wide-ranging discussion of marital intimacy.</w:t>
      </w:r>
    </w:p>
    <w:p w14:paraId="67C6FE7C" w14:textId="37FAC3E2" w:rsidR="00D5116F" w:rsidRDefault="00D5116F" w:rsidP="00605415">
      <w:pPr>
        <w:spacing w:line="360" w:lineRule="auto"/>
        <w:ind w:firstLine="720"/>
      </w:pPr>
      <w:r>
        <w:t xml:space="preserve">Why then, according to Rebbe Elazar, is a nazir required to bring a korban </w:t>
      </w:r>
      <w:proofErr w:type="spellStart"/>
      <w:r>
        <w:t>chattas</w:t>
      </w:r>
      <w:proofErr w:type="spellEnd"/>
      <w:r>
        <w:t>, and why is he considered to be a choteh? While this issue is somewhat complicated</w:t>
      </w:r>
      <w:r>
        <w:rPr>
          <w:rStyle w:val="FootnoteReference"/>
        </w:rPr>
        <w:footnoteReference w:id="1"/>
      </w:r>
      <w:r>
        <w:t>, and various answers are provided by the Rishonim</w:t>
      </w:r>
      <w:r>
        <w:rPr>
          <w:rStyle w:val="FootnoteReference"/>
        </w:rPr>
        <w:footnoteReference w:id="2"/>
      </w:r>
      <w:r>
        <w:t>, the most elegant answer is given by the Ramban (Bamidbar 6:11) who writes that:</w:t>
      </w:r>
    </w:p>
    <w:p w14:paraId="0C256FB8" w14:textId="7DF3340C" w:rsidR="005724BA" w:rsidRPr="00FB5F33" w:rsidRDefault="005724BA" w:rsidP="005724BA">
      <w:pPr>
        <w:ind w:left="720"/>
        <w:rPr>
          <w:i/>
          <w:iCs/>
        </w:rPr>
      </w:pPr>
      <w:r>
        <w:rPr>
          <w:i/>
          <w:iCs/>
        </w:rPr>
        <w:t>AND THE PRIEST SHALL PREPARE ONE FOR A SIN-OFFERING. The reason why a Nazirite must bring a sin-offering when the days of his Naziritehood are fulfilled has not been explained. In accordance with the plain meaning of Scripture</w:t>
      </w:r>
      <w:r>
        <w:rPr>
          <w:b/>
          <w:bCs/>
          <w:i/>
          <w:iCs/>
        </w:rPr>
        <w:t xml:space="preserve">, it is because this man sins against his soul on the day of completion of his Naziritehood; for until now he was separated in sanctity and the service of G-d, and he should therefore have remained separated forever, continuing all his life consecrated and sanctified to his G-d, </w:t>
      </w:r>
      <w:r>
        <w:rPr>
          <w:i/>
          <w:iCs/>
        </w:rPr>
        <w:t>….. and as it is written, All the days of his Naziritehood he is holy unto the Eternal. Thus [when he completes his Naziritehood and returns to his normal life] he requires atonement, since he goes back to be defiled by material desires of the world.</w:t>
      </w:r>
    </w:p>
    <w:p w14:paraId="059C9FE8" w14:textId="2A39758B" w:rsidR="00B66556" w:rsidRDefault="005724BA" w:rsidP="00ED5DCC">
      <w:pPr>
        <w:spacing w:line="360" w:lineRule="auto"/>
        <w:rPr>
          <w:rFonts w:ascii="Times New Roman" w:eastAsia="Times New Roman" w:hAnsi="Times New Roman" w:cs="Times New Roman"/>
          <w:kern w:val="0"/>
          <w14:ligatures w14:val="none"/>
        </w:rPr>
      </w:pPr>
      <w:r>
        <w:t>This position of the Ramban, echoing the perspective of Rebbe Elazar that the nazir is the personification of holiness, is seemingly shared by the Ibn Ezra and others. The Ibn Ezra (Bamidbar 6:7) notes the unusual language of nazir and seeks its etymology. He notes that:</w:t>
      </w:r>
      <w:r>
        <w:rPr>
          <w:rFonts w:ascii="Times New Roman" w:eastAsia="Times New Roman" w:hAnsi="Times New Roman" w:cs="Times New Roman"/>
          <w:kern w:val="0"/>
          <w14:ligatures w14:val="none"/>
        </w:rPr>
        <w:t xml:space="preserve"> </w:t>
      </w:r>
    </w:p>
    <w:p w14:paraId="2B0BEB3B" w14:textId="457B0650" w:rsidR="00B66556" w:rsidRPr="00FB5F33" w:rsidRDefault="00B66556" w:rsidP="00B66556">
      <w:pPr>
        <w:ind w:left="720"/>
        <w:rPr>
          <w:rFonts w:eastAsia="Times New Roman" w:cs="Times New Roman"/>
          <w:i/>
          <w:iCs/>
          <w:kern w:val="0"/>
          <w14:ligatures w14:val="none"/>
        </w:rPr>
      </w:pPr>
      <w:r>
        <w:rPr>
          <w:rFonts w:eastAsia="Times New Roman" w:cs="Times New Roman"/>
          <w:i/>
          <w:iCs/>
          <w:kern w:val="0"/>
          <w14:ligatures w14:val="none"/>
        </w:rPr>
        <w:t>Some say that the word nazir (Nazirite) is related to the word nezer (crown). Because his consecration (nezer) unto God is upon his head is proof of this. This interpretation is not farfetched. Note that most people are slaves to worldly lusts. The true king, the one who has a crown, the one who wears the royal diadem, is the person who is free from this desire.</w:t>
      </w:r>
    </w:p>
    <w:p w14:paraId="7BD9DC4A" w14:textId="795F1110" w:rsidR="00B66556" w:rsidRPr="00FB5F33" w:rsidRDefault="00B66556" w:rsidP="00ED5DCC">
      <w:pPr>
        <w:spacing w:line="360" w:lineRule="auto"/>
        <w:rPr>
          <w:rFonts w:eastAsia="Times New Roman" w:cs="Times New Roman"/>
          <w:kern w:val="0"/>
          <w14:ligatures w14:val="none"/>
        </w:rPr>
      </w:pPr>
      <w:r>
        <w:rPr>
          <w:rFonts w:eastAsia="Times New Roman" w:cs="Times New Roman"/>
          <w:kern w:val="0"/>
          <w14:ligatures w14:val="none"/>
        </w:rPr>
        <w:t xml:space="preserve">For the Ramban and Ibn Ezra following in the </w:t>
      </w:r>
      <w:r w:rsidRPr="00277015">
        <w:rPr>
          <w:rFonts w:eastAsia="Times New Roman" w:cs="Times New Roman"/>
          <w:kern w:val="0"/>
          <w14:ligatures w14:val="none"/>
        </w:rPr>
        <w:t>trail blazed by</w:t>
      </w:r>
      <w:r>
        <w:rPr>
          <w:rFonts w:eastAsia="Times New Roman" w:cs="Times New Roman"/>
          <w:kern w:val="0"/>
          <w14:ligatures w14:val="none"/>
        </w:rPr>
        <w:t xml:space="preserve"> Rebbe Elazar, the nazir’s holiness and majesty emanate from his desire to remove himself from the pleasures of the </w:t>
      </w:r>
      <w:r>
        <w:rPr>
          <w:rFonts w:eastAsia="Times New Roman" w:cs="Times New Roman"/>
          <w:kern w:val="0"/>
          <w14:ligatures w14:val="none"/>
        </w:rPr>
        <w:lastRenderedPageBreak/>
        <w:t xml:space="preserve">physical world. </w:t>
      </w:r>
      <w:r>
        <w:t>This stands in contrast to Rebbe Eleazar Hakefar, and most notably the Rambam, who believes that turning to abstinence itself is sinful.</w:t>
      </w:r>
      <w:r>
        <w:rPr>
          <w:rStyle w:val="FootnoteReference"/>
          <w:rFonts w:eastAsia="Times New Roman" w:cs="Times New Roman"/>
          <w:kern w:val="0"/>
          <w14:ligatures w14:val="none"/>
        </w:rPr>
        <w:footnoteReference w:id="3"/>
      </w:r>
    </w:p>
    <w:p w14:paraId="48875E64" w14:textId="24262B73" w:rsidR="00C03510" w:rsidRPr="00FB5F33" w:rsidRDefault="00C03510" w:rsidP="00605415">
      <w:pPr>
        <w:spacing w:line="360" w:lineRule="auto"/>
        <w:ind w:firstLine="720"/>
        <w:rPr>
          <w:rFonts w:eastAsia="Times New Roman" w:cs="Times New Roman"/>
          <w:kern w:val="0"/>
          <w14:ligatures w14:val="none"/>
        </w:rPr>
      </w:pPr>
      <w:r w:rsidRPr="00277015">
        <w:rPr>
          <w:rFonts w:eastAsia="Times New Roman" w:cs="Times New Roman"/>
          <w:kern w:val="0"/>
          <w14:ligatures w14:val="none"/>
        </w:rPr>
        <w:t>The Rambam sees</w:t>
      </w:r>
      <w:r>
        <w:rPr>
          <w:rFonts w:eastAsia="Times New Roman" w:cs="Times New Roman"/>
          <w:kern w:val="0"/>
          <w14:ligatures w14:val="none"/>
        </w:rPr>
        <w:t xml:space="preserve"> the position of Rebbe El</w:t>
      </w:r>
      <w:r w:rsidR="00277015">
        <w:rPr>
          <w:rFonts w:eastAsia="Times New Roman" w:cs="Times New Roman"/>
          <w:kern w:val="0"/>
          <w14:ligatures w14:val="none"/>
        </w:rPr>
        <w:t>aza</w:t>
      </w:r>
      <w:r>
        <w:rPr>
          <w:rFonts w:eastAsia="Times New Roman" w:cs="Times New Roman"/>
          <w:kern w:val="0"/>
          <w14:ligatures w14:val="none"/>
        </w:rPr>
        <w:t xml:space="preserve">r Hakefar as part of a broader philosophy of how one conducts one’s life and what constitutes the ideal approach in avodas Hashem. </w:t>
      </w:r>
      <w:r>
        <w:t>Famously, the Rambam – both at the beginning of Hilchos Dei’os and, more extensively, in his introduction to Pirkei Avos (Shemoneh Perakim) – argues that the appropriate behavior in almost all situations is that of the middle path and moderation</w:t>
      </w:r>
      <w:r>
        <w:rPr>
          <w:rStyle w:val="FootnoteReference"/>
          <w:rFonts w:eastAsia="Times New Roman" w:cs="Times New Roman"/>
          <w:kern w:val="0"/>
          <w14:ligatures w14:val="none"/>
        </w:rPr>
        <w:footnoteReference w:id="4"/>
      </w:r>
      <w:r>
        <w:rPr>
          <w:rFonts w:eastAsia="Times New Roman" w:cs="Times New Roman"/>
          <w:kern w:val="0"/>
          <w14:ligatures w14:val="none"/>
        </w:rPr>
        <w:t xml:space="preserve">. </w:t>
      </w:r>
      <w:r>
        <w:t>As a culmination of this philosophy, the Rambam (Hilchos Dei’os 3:1) writes that:</w:t>
      </w:r>
    </w:p>
    <w:p w14:paraId="187F48C4" w14:textId="6E1C9F23" w:rsidR="00362A02" w:rsidRPr="00FB5F33" w:rsidRDefault="00362A02" w:rsidP="00ED5DCC">
      <w:pPr>
        <w:spacing w:after="0" w:line="240" w:lineRule="auto"/>
        <w:ind w:left="720"/>
        <w:rPr>
          <w:rFonts w:eastAsia="Times New Roman" w:cs="Times New Roman"/>
          <w:i/>
          <w:iCs/>
          <w:kern w:val="0"/>
          <w14:ligatures w14:val="none"/>
        </w:rPr>
      </w:pPr>
      <w:r>
        <w:rPr>
          <w:rFonts w:eastAsia="Times New Roman" w:cs="Times New Roman"/>
          <w:i/>
          <w:iCs/>
          <w:kern w:val="0"/>
          <w14:ligatures w14:val="none"/>
        </w:rPr>
        <w:t xml:space="preserve">A person might say, "Since envy, desire, the pursuit of honor, and the like, are a wrong path and drive a person from the world, I shall separate from them to a very great degree and move away from them to the opposite extreme." </w:t>
      </w:r>
      <w:r>
        <w:rPr>
          <w:rFonts w:eastAsia="Times New Roman" w:cs="Times New Roman"/>
          <w:b/>
          <w:bCs/>
          <w:i/>
          <w:iCs/>
          <w:kern w:val="0"/>
          <w14:ligatures w14:val="none"/>
        </w:rPr>
        <w:t xml:space="preserve">For example, he will not eat meat, nor drink wine, nor live in a pleasant home, nor wear fine clothing, but, rather, [wear] sackcloth and coarse wool and the like - just as the pagan priests do. This, too, is a bad path and it is forbidden to walk upon it. </w:t>
      </w:r>
      <w:r>
        <w:rPr>
          <w:rFonts w:eastAsia="Times New Roman" w:cs="Times New Roman"/>
          <w:i/>
          <w:iCs/>
          <w:kern w:val="0"/>
          <w14:ligatures w14:val="none"/>
        </w:rPr>
        <w:t>Whoever follows this path is called a sinner [as implied by Numbers 6:11's] statement concerning a nazarite: "and he [the priest] shall make an atonement for him, for his having sinned regarding [his] soul." Our sages declared: If the nazarite who abstained only from wine requires atonement, how much more so does one who abstains from everything. Therefore, our Sages directed man to abstain only from those things which the Torah denies him and not to forbid himself permitted things by vows and oaths [of abstention]. Thus, our Sages stated: Are not those things which the Torah has prohibited sufficient for you that you must forbid additional things to yourself?</w:t>
      </w:r>
    </w:p>
    <w:p w14:paraId="582455E7" w14:textId="77777777" w:rsidR="00362A02" w:rsidRPr="00FB5F33" w:rsidRDefault="00362A02" w:rsidP="00362A02">
      <w:pPr>
        <w:spacing w:after="0" w:line="240" w:lineRule="auto"/>
        <w:rPr>
          <w:rFonts w:eastAsia="Times New Roman" w:cs="Times New Roman"/>
          <w:kern w:val="0"/>
          <w14:ligatures w14:val="none"/>
        </w:rPr>
      </w:pPr>
    </w:p>
    <w:p w14:paraId="4F40F9FC" w14:textId="58636969" w:rsidR="009E7AAC" w:rsidRPr="00FB5F33" w:rsidRDefault="00362A02" w:rsidP="00362A02">
      <w:pPr>
        <w:spacing w:after="0" w:line="240" w:lineRule="auto"/>
        <w:rPr>
          <w:rFonts w:eastAsia="Times New Roman" w:cs="Times New Roman"/>
          <w:kern w:val="0"/>
          <w14:ligatures w14:val="none"/>
        </w:rPr>
      </w:pPr>
      <w:r>
        <w:rPr>
          <w:rFonts w:eastAsia="Times New Roman" w:cs="Times New Roman"/>
          <w:kern w:val="0"/>
          <w14:ligatures w14:val="none"/>
        </w:rPr>
        <w:t xml:space="preserve">While the Rambam’s rejection of asceticism and his denouncement of the nazir as a choteh speaks for itself, </w:t>
      </w:r>
      <w:r>
        <w:t>both at face value and as a reflection of a broader philosophy, his position is not altogether straightforward. The Rambam seems to contradict this view in a comment at the end of Hilchos Nedarim 13:23 when he writes that:</w:t>
      </w:r>
    </w:p>
    <w:p w14:paraId="7A73FCD0" w14:textId="77777777" w:rsidR="009E7AAC" w:rsidRPr="00FB5F33" w:rsidRDefault="009E7AAC" w:rsidP="00362A02">
      <w:pPr>
        <w:spacing w:after="0" w:line="240" w:lineRule="auto"/>
        <w:rPr>
          <w:rFonts w:eastAsia="Times New Roman" w:cs="Times New Roman"/>
          <w:kern w:val="0"/>
          <w14:ligatures w14:val="none"/>
        </w:rPr>
      </w:pPr>
    </w:p>
    <w:p w14:paraId="5FBFD8FE" w14:textId="19F493EA" w:rsidR="00BA668A" w:rsidRPr="00FB5F33" w:rsidRDefault="00BA668A" w:rsidP="00BA668A">
      <w:pPr>
        <w:spacing w:after="0" w:line="240" w:lineRule="auto"/>
        <w:ind w:left="720"/>
        <w:rPr>
          <w:rFonts w:eastAsia="Times New Roman" w:cs="Times New Roman"/>
          <w:i/>
          <w:iCs/>
          <w:kern w:val="0"/>
          <w14:ligatures w14:val="none"/>
        </w:rPr>
      </w:pPr>
      <w:r>
        <w:rPr>
          <w:rFonts w:eastAsia="Times New Roman" w:cs="Times New Roman"/>
          <w:b/>
          <w:bCs/>
          <w:i/>
          <w:iCs/>
          <w:kern w:val="0"/>
          <w14:ligatures w14:val="none"/>
        </w:rPr>
        <w:lastRenderedPageBreak/>
        <w:t>When a person takes vows in order to establish his character traits and correct his conduct, he is considered eager and praiseworthy</w:t>
      </w:r>
      <w:r>
        <w:rPr>
          <w:rFonts w:eastAsia="Times New Roman" w:cs="Times New Roman"/>
          <w:i/>
          <w:iCs/>
          <w:kern w:val="0"/>
          <w14:ligatures w14:val="none"/>
        </w:rPr>
        <w:t xml:space="preserve">. What is implied? If a person was a glutton and he took a vow forbidding meat for a year or two, a person was obsessed with wine and he took a vow forbidding himself from drinking wine for a prolonged period or he forbade himself from ever becoming intoxicated, a person would continually pursue illicit gain and was overexcited about wealth took a vow forbidding accepting presents or benefit from people in a particular country, similarly, a person who would be proud of his comely appearance and took a nazirite vow, or the like </w:t>
      </w:r>
      <w:r>
        <w:rPr>
          <w:rFonts w:eastAsia="Times New Roman" w:cs="Times New Roman"/>
          <w:b/>
          <w:bCs/>
          <w:i/>
          <w:iCs/>
          <w:kern w:val="0"/>
          <w14:ligatures w14:val="none"/>
        </w:rPr>
        <w:t xml:space="preserve">- all of these are paths in the service of God </w:t>
      </w:r>
      <w:r>
        <w:rPr>
          <w:rFonts w:eastAsia="Times New Roman" w:cs="Times New Roman"/>
          <w:i/>
          <w:iCs/>
          <w:kern w:val="0"/>
          <w14:ligatures w14:val="none"/>
        </w:rPr>
        <w:t>and concerning such vows and the like our Sages said: "Vows are a safeguard for restraint."</w:t>
      </w:r>
    </w:p>
    <w:p w14:paraId="01C4F8CC" w14:textId="0BD11ADB" w:rsidR="005724BA" w:rsidRPr="00FB5F33" w:rsidRDefault="00362A02" w:rsidP="00ED5DCC">
      <w:pPr>
        <w:spacing w:after="0" w:line="360" w:lineRule="auto"/>
        <w:rPr>
          <w:rFonts w:eastAsia="Times New Roman" w:cs="Times New Roman"/>
          <w:kern w:val="0"/>
          <w14:ligatures w14:val="none"/>
        </w:rPr>
      </w:pPr>
      <w:r>
        <w:rPr>
          <w:rFonts w:eastAsia="Times New Roman" w:cs="Times New Roman"/>
          <w:kern w:val="0"/>
          <w14:ligatures w14:val="none"/>
        </w:rPr>
        <w:br/>
      </w:r>
      <w:r w:rsidRPr="00277015">
        <w:rPr>
          <w:rFonts w:eastAsia="Times New Roman" w:cs="Times New Roman"/>
          <w:kern w:val="0"/>
          <w14:ligatures w14:val="none"/>
        </w:rPr>
        <w:t>The answer most commonly found in the Acharonim</w:t>
      </w:r>
      <w:r w:rsidRPr="00277015">
        <w:rPr>
          <w:rStyle w:val="FootnoteReference"/>
          <w:rFonts w:eastAsia="Times New Roman" w:cs="Times New Roman"/>
          <w:kern w:val="0"/>
          <w14:ligatures w14:val="none"/>
        </w:rPr>
        <w:footnoteReference w:id="5"/>
      </w:r>
      <w:r w:rsidRPr="00277015">
        <w:rPr>
          <w:rFonts w:eastAsia="Times New Roman" w:cs="Times New Roman"/>
          <w:kern w:val="0"/>
          <w14:ligatures w14:val="none"/>
        </w:rPr>
        <w:t xml:space="preserve"> is that the Rambam in Hilchos Dei’os</w:t>
      </w:r>
      <w:r>
        <w:rPr>
          <w:rFonts w:eastAsia="Times New Roman" w:cs="Times New Roman"/>
          <w:kern w:val="0"/>
          <w14:ligatures w14:val="none"/>
        </w:rPr>
        <w:t xml:space="preserve"> is writing about a baseline philosophy in which eschewing physical pleasure is inappropriate and even sinful. </w:t>
      </w:r>
      <w:r>
        <w:t xml:space="preserve">Rejection of pleasure is extreme and, as such, is viewed through the same lens as any extreme behavior that should be avoided. Conversely, the Rambam in Hilchos Nedarim is speaking about a personal </w:t>
      </w:r>
      <w:proofErr w:type="spellStart"/>
      <w:r>
        <w:t>hora’as</w:t>
      </w:r>
      <w:proofErr w:type="spellEnd"/>
      <w:r>
        <w:t xml:space="preserve"> </w:t>
      </w:r>
      <w:proofErr w:type="spellStart"/>
      <w:r>
        <w:t>sha’ah</w:t>
      </w:r>
      <w:proofErr w:type="spellEnd"/>
      <w:r>
        <w:t xml:space="preserve"> in which the individual assesses that he has tilted too far toward physical pleasure and needs to self-correct by accepting upon himself a period of limitation and restriction. </w:t>
      </w:r>
    </w:p>
    <w:p w14:paraId="744BDAB8" w14:textId="77777777" w:rsidR="00BA668A" w:rsidRPr="00FB5F33" w:rsidRDefault="00BA668A" w:rsidP="00ED5DCC">
      <w:pPr>
        <w:spacing w:after="0" w:line="360" w:lineRule="auto"/>
        <w:rPr>
          <w:rFonts w:eastAsia="Times New Roman" w:cs="Times New Roman"/>
          <w:kern w:val="0"/>
          <w14:ligatures w14:val="none"/>
        </w:rPr>
      </w:pPr>
    </w:p>
    <w:p w14:paraId="178D3BB2" w14:textId="1516F6B9" w:rsidR="00FE7E6A" w:rsidRPr="00FB5F33" w:rsidRDefault="00BA668A" w:rsidP="00605415">
      <w:pPr>
        <w:spacing w:after="0" w:line="360" w:lineRule="auto"/>
        <w:ind w:firstLine="720"/>
        <w:rPr>
          <w:rFonts w:eastAsia="Times New Roman" w:cs="Times New Roman"/>
          <w:kern w:val="0"/>
          <w14:ligatures w14:val="none"/>
        </w:rPr>
      </w:pPr>
      <w:r>
        <w:t xml:space="preserve">This approach would seem consistent with </w:t>
      </w:r>
      <w:proofErr w:type="gramStart"/>
      <w:r>
        <w:t>the Rambam’s</w:t>
      </w:r>
      <w:proofErr w:type="gramEnd"/>
      <w:r>
        <w:t xml:space="preserve"> own stated philosophy, in which he espouses radical measures in one direction as a way of resetting oneself and ultimately returning to </w:t>
      </w:r>
      <w:proofErr w:type="gramStart"/>
      <w:r>
        <w:t>a middle</w:t>
      </w:r>
      <w:proofErr w:type="gramEnd"/>
      <w:r>
        <w:t xml:space="preserve"> ground. Additionally, seeing nezirus as a temporary reactive measure in response to one’s personal experiences is a theme mentioned on </w:t>
      </w:r>
      <w:proofErr w:type="gramStart"/>
      <w:r>
        <w:t>a number of</w:t>
      </w:r>
      <w:proofErr w:type="gramEnd"/>
      <w:r>
        <w:t xml:space="preserve"> occasions in meseches Nazir. The two most prominent examples are the famous Rabbinic dictum that one who sees the sotah b’kilkula (the adulterous woman in the state of her degradation) should take upon himself the vow of nezirus. Additionally, the gemarah (Nazir 4b) writes that Shimon </w:t>
      </w:r>
      <w:proofErr w:type="spellStart"/>
      <w:r>
        <w:t>Hatzaddik</w:t>
      </w:r>
      <w:proofErr w:type="spellEnd"/>
      <w:r>
        <w:t xml:space="preserve"> was unsupportive of any nazir other than a certain individual from the south who took upon himself the vow of nezirus after observing in a pool of water how attractive he was and felt that he needed to do something </w:t>
      </w:r>
      <w:r>
        <w:lastRenderedPageBreak/>
        <w:t xml:space="preserve">to counteract this apparent flaw of haughtiness. </w:t>
      </w:r>
      <w:proofErr w:type="gramStart"/>
      <w:r>
        <w:t>Both of these</w:t>
      </w:r>
      <w:proofErr w:type="gramEnd"/>
      <w:r>
        <w:t xml:space="preserve"> statements in the gemarah see nezirus as a corrective measure rather than a lifestyle or a choice to be ideally adopted.</w:t>
      </w:r>
    </w:p>
    <w:p w14:paraId="24710F00" w14:textId="77777777" w:rsidR="00FE7E6A" w:rsidRPr="00FB5F33" w:rsidRDefault="00FE7E6A" w:rsidP="00FE7E6A">
      <w:pPr>
        <w:spacing w:after="0" w:line="240" w:lineRule="auto"/>
        <w:rPr>
          <w:rFonts w:eastAsia="Times New Roman" w:cs="Times New Roman"/>
          <w:kern w:val="0"/>
          <w14:ligatures w14:val="none"/>
        </w:rPr>
      </w:pPr>
    </w:p>
    <w:p w14:paraId="17D32C99" w14:textId="0755184D" w:rsidR="00FE7E6A" w:rsidRPr="00FB5F33" w:rsidRDefault="00FE7E6A" w:rsidP="00605415">
      <w:pPr>
        <w:spacing w:line="360" w:lineRule="auto"/>
        <w:ind w:firstLine="720"/>
        <w:rPr>
          <w:rFonts w:cs="Times New Roman"/>
        </w:rPr>
      </w:pPr>
      <w:r>
        <w:rPr>
          <w:rFonts w:cs="Times New Roman"/>
        </w:rPr>
        <w:t xml:space="preserve">Perhaps one can formulate the position of the Rambam somewhat differently. </w:t>
      </w:r>
      <w:proofErr w:type="spellStart"/>
      <w:r>
        <w:t>Nezirus</w:t>
      </w:r>
      <w:proofErr w:type="spellEnd"/>
      <w:r>
        <w:t xml:space="preserve"> is not only a temporary measure or a form of teshuva for behavioral or character flaws. It is not to be defined as mere abstinence and separation, but as consecration and designation, and it reflects a fundamental continuum in how a person sanctifies himself for service of G-d.</w:t>
      </w:r>
      <w:r>
        <w:rPr>
          <w:rStyle w:val="FootnoteReference"/>
          <w:rFonts w:cs="Times New Roman"/>
        </w:rPr>
        <w:footnoteReference w:id="6"/>
      </w:r>
      <w:r>
        <w:rPr>
          <w:rFonts w:cs="Times New Roman"/>
        </w:rPr>
        <w:t xml:space="preserve"> Each person ideally finds himself on this continuum of consecration and in a way each person wears the mantle of either an actual or conceptual nazir – someone prepared to dedicate themselves fully to HKB’H. </w:t>
      </w:r>
      <w:r>
        <w:rPr>
          <w:rStyle w:val="FootnoteReference"/>
          <w:rFonts w:cs="Times New Roman"/>
        </w:rPr>
        <w:footnoteReference w:id="7"/>
      </w:r>
    </w:p>
    <w:p w14:paraId="6D525B3E" w14:textId="555F73DC" w:rsidR="006855F8" w:rsidRPr="00FB5F33" w:rsidRDefault="006855F8" w:rsidP="00605415">
      <w:pPr>
        <w:spacing w:line="360" w:lineRule="auto"/>
        <w:ind w:firstLine="720"/>
        <w:rPr>
          <w:rFonts w:cs="Times New Roman"/>
        </w:rPr>
      </w:pPr>
      <w:r>
        <w:t xml:space="preserve">Those who do not have the capacity to be fully engaged in the world, whether temporarily or permanently, with </w:t>
      </w:r>
      <w:proofErr w:type="gramStart"/>
      <w:r>
        <w:t>all of</w:t>
      </w:r>
      <w:proofErr w:type="gramEnd"/>
      <w:r>
        <w:t xml:space="preserve"> its complexities and </w:t>
      </w:r>
      <w:proofErr w:type="gramStart"/>
      <w:r>
        <w:t>all of</w:t>
      </w:r>
      <w:proofErr w:type="gramEnd"/>
      <w:r>
        <w:t xml:space="preserve"> its connection to physicality, are given the option of becoming an actual nazir or of undertaking other similar nedarim. For the Rambam this is far from ideal, but it is still a valid option. The ideal is the one who consecrates himself, and separates and distinguishes himself, by not having to be separate at all. He is able to be fully of this world and yet, through this very engagement with the world, remain fully connected and directed towards HKB’H. The Rambam writes beautifully in Dei’os 3:2 that:</w:t>
      </w:r>
    </w:p>
    <w:p w14:paraId="1B61B113" w14:textId="0452321E" w:rsidR="00C002E5" w:rsidRPr="00FB5F33" w:rsidRDefault="00C002E5" w:rsidP="00C002E5">
      <w:pPr>
        <w:spacing w:after="0" w:line="240" w:lineRule="auto"/>
        <w:ind w:left="720"/>
        <w:rPr>
          <w:rFonts w:eastAsia="Times New Roman" w:cs="Times New Roman"/>
          <w:kern w:val="0"/>
          <w14:ligatures w14:val="none"/>
        </w:rPr>
      </w:pPr>
      <w:r>
        <w:rPr>
          <w:rFonts w:eastAsia="Times New Roman" w:cs="Times New Roman"/>
          <w:i/>
          <w:iCs/>
          <w:kern w:val="0"/>
          <w14:ligatures w14:val="none"/>
        </w:rPr>
        <w:t>A person should direct his heart and the totality of his behavior to one goal, becoming aware of God, blessed be He. The [way] he rests, rises, and speaks should all be directed to this end.</w:t>
      </w:r>
      <w:r>
        <w:rPr>
          <w:rFonts w:eastAsia="Times New Roman" w:cs="Times New Roman"/>
          <w:i/>
          <w:iCs/>
          <w:kern w:val="0"/>
          <w14:ligatures w14:val="none"/>
        </w:rPr>
        <w:br/>
        <w:t xml:space="preserve">For example: when involved in business dealings or while working for a wage, he should not think solely of gathering money. Rather, he should do these things, so that he will be able to obtain that which the body needs - food, drink, a home and a wife. Similarly, when he eats, drinks and engages in intimate relations, </w:t>
      </w:r>
      <w:r>
        <w:rPr>
          <w:rFonts w:eastAsia="Times New Roman" w:cs="Times New Roman"/>
          <w:b/>
          <w:bCs/>
          <w:i/>
          <w:iCs/>
          <w:kern w:val="0"/>
          <w14:ligatures w14:val="none"/>
        </w:rPr>
        <w:t xml:space="preserve">he should not intend to do these things solely for pleasure </w:t>
      </w:r>
      <w:r>
        <w:rPr>
          <w:rFonts w:eastAsia="Times New Roman" w:cs="Times New Roman"/>
          <w:i/>
          <w:iCs/>
          <w:kern w:val="0"/>
          <w14:ligatures w14:val="none"/>
        </w:rPr>
        <w:t>to the point where he will eat and drink only that which is sweet to the palate and engage in intercourse for pleasure. Rather, he should take care to eat and drink only in order to be healthy in body and limb</w:t>
      </w:r>
      <w:r>
        <w:rPr>
          <w:rFonts w:eastAsia="Times New Roman" w:cs="Times New Roman"/>
          <w:kern w:val="0"/>
          <w14:ligatures w14:val="none"/>
        </w:rPr>
        <w:t>.</w:t>
      </w:r>
    </w:p>
    <w:p w14:paraId="3D924E73" w14:textId="77777777" w:rsidR="00A002B3" w:rsidRPr="00FB5F33" w:rsidRDefault="00A002B3" w:rsidP="004B2140">
      <w:pPr>
        <w:spacing w:line="360" w:lineRule="auto"/>
        <w:rPr>
          <w:rFonts w:cs="Times New Roman"/>
        </w:rPr>
      </w:pPr>
    </w:p>
    <w:p w14:paraId="6C6533CF" w14:textId="13F39C58" w:rsidR="00C002E5" w:rsidRPr="00FB5F33" w:rsidRDefault="00C002E5" w:rsidP="004B2140">
      <w:pPr>
        <w:spacing w:line="360" w:lineRule="auto"/>
        <w:rPr>
          <w:rFonts w:cs="Times New Roman"/>
        </w:rPr>
      </w:pPr>
      <w:r>
        <w:rPr>
          <w:rFonts w:cs="Times New Roman"/>
        </w:rPr>
        <w:lastRenderedPageBreak/>
        <w:t xml:space="preserve">The Rambam is describing the man fully engaged in life, but who lives by the dictum of echad hamarbeh v’echad hamam’it u’bilvad she’yichaven libo la’shamayim. </w:t>
      </w:r>
    </w:p>
    <w:p w14:paraId="7C71781B" w14:textId="49EC9C5B" w:rsidR="00C75A80" w:rsidRPr="00FB5F33" w:rsidRDefault="00C75A80" w:rsidP="00605415">
      <w:pPr>
        <w:spacing w:line="360" w:lineRule="auto"/>
        <w:ind w:firstLine="720"/>
        <w:rPr>
          <w:rFonts w:cs="Times New Roman"/>
        </w:rPr>
      </w:pPr>
      <w:r>
        <w:t xml:space="preserve">Taking this broader approach to nezirus answers two questions raised by the Acharonim. The first arises from the Torah’s wording at the end of the section discussing the nazir: </w:t>
      </w:r>
    </w:p>
    <w:p w14:paraId="457FE6B1" w14:textId="77777777" w:rsidR="00C75A80" w:rsidRPr="00FB5F33" w:rsidRDefault="00C75A80" w:rsidP="00C75A80">
      <w:pPr>
        <w:bidi/>
        <w:spacing w:after="0" w:line="240" w:lineRule="auto"/>
        <w:rPr>
          <w:rFonts w:eastAsia="Times New Roman" w:cs="Times New Roman"/>
          <w:kern w:val="0"/>
          <w14:ligatures w14:val="none"/>
        </w:rPr>
      </w:pPr>
      <w:r>
        <w:rPr>
          <w:rFonts w:eastAsia="Times New Roman" w:cs="Times New Roman"/>
          <w:kern w:val="0"/>
          <w:rtl/>
          <w:lang w:bidi="he-IL"/>
          <w14:ligatures w14:val="none"/>
        </w:rPr>
        <w:t>וְהֵנִיף֩ אוֹתָ֨ם הַכֹּהֵ֥ן </w:t>
      </w:r>
      <w:r>
        <w:rPr>
          <w:rFonts w:eastAsia="Times New Roman" w:cs="Times New Roman"/>
          <w:kern w:val="0"/>
          <w:sz w:val="20"/>
          <w:szCs w:val="20"/>
          <w:rtl/>
          <w:lang w:bidi="he-IL"/>
          <w14:ligatures w14:val="none"/>
        </w:rPr>
        <w:t>׀</w:t>
      </w:r>
      <w:r>
        <w:rPr>
          <w:rFonts w:eastAsia="Times New Roman" w:cs="Times New Roman"/>
          <w:kern w:val="0"/>
          <w:rtl/>
          <w:lang w:bidi="he-IL"/>
          <w14:ligatures w14:val="none"/>
        </w:rPr>
        <w:t xml:space="preserve"> תְּנוּפָה֮ לִפְנֵ֣י יְהֹוָה֒ קֹ֤דֶשׁ הוּא֙ לַכֹּהֵ֔ן עַ֚ל חֲזֵ֣ה הַתְּנוּפָ֔ה וְעַ֖ל שׁ֣וֹק הַתְּרוּמָ֑ה </w:t>
      </w:r>
      <w:r>
        <w:rPr>
          <w:rFonts w:eastAsia="Times New Roman" w:cs="Times New Roman"/>
          <w:b/>
          <w:bCs/>
          <w:kern w:val="0"/>
          <w:rtl/>
          <w:lang w:bidi="he-IL"/>
          <w14:ligatures w14:val="none"/>
        </w:rPr>
        <w:t>וְאַחַ֛ר יִשְׁתֶּ֥ה הַנָּזִ֖יר יָֽיִן</w:t>
      </w:r>
      <w:r>
        <w:rPr>
          <w:rFonts w:eastAsia="Times New Roman" w:cs="Times New Roman"/>
          <w:kern w:val="0"/>
          <w:rtl/>
          <w:lang w:bidi="he-IL"/>
          <w14:ligatures w14:val="none"/>
        </w:rPr>
        <w:t>׃</w:t>
      </w:r>
    </w:p>
    <w:p w14:paraId="14E6BE3C" w14:textId="77777777" w:rsidR="00C75A80" w:rsidRPr="00FB5F33" w:rsidRDefault="00C75A80" w:rsidP="00C75A80">
      <w:pPr>
        <w:rPr>
          <w:rFonts w:cs="Times New Roman"/>
        </w:rPr>
      </w:pPr>
    </w:p>
    <w:p w14:paraId="7A01CFCE" w14:textId="15373C4F" w:rsidR="00793BDD" w:rsidRPr="00FB5F33" w:rsidRDefault="00C75A80" w:rsidP="004B2140">
      <w:pPr>
        <w:spacing w:line="360" w:lineRule="auto"/>
        <w:rPr>
          <w:rFonts w:cs="Times New Roman"/>
        </w:rPr>
      </w:pPr>
      <w:r>
        <w:rPr>
          <w:rFonts w:cs="Times New Roman"/>
        </w:rPr>
        <w:t xml:space="preserve">The Torah describes the process of how a nazir leaves his state of nezirus, yet even after his hair has been sheared and the last korban is brought he is still called a nazir. </w:t>
      </w:r>
      <w:r>
        <w:t>The Torah could just as easily have said that afterwards ‘he’ drinks wine. Why still refer to him as a nazir?</w:t>
      </w:r>
    </w:p>
    <w:p w14:paraId="55400C32" w14:textId="2BFBDC9D" w:rsidR="00C75A80" w:rsidRPr="00FB5F33" w:rsidRDefault="00793BDD" w:rsidP="00605415">
      <w:pPr>
        <w:spacing w:line="360" w:lineRule="auto"/>
        <w:ind w:firstLine="720"/>
        <w:rPr>
          <w:rFonts w:cs="Times New Roman"/>
        </w:rPr>
      </w:pPr>
      <w:r>
        <w:rPr>
          <w:rFonts w:cs="Times New Roman"/>
        </w:rPr>
        <w:t xml:space="preserve">The second question is raised as a ‘kushia chamura’ (an extremely strong question) by the Maharatz Chayis in meseches Nazir 29a. </w:t>
      </w:r>
      <w:r>
        <w:t xml:space="preserve">The </w:t>
      </w:r>
      <w:proofErr w:type="spellStart"/>
      <w:r>
        <w:t>gemarah</w:t>
      </w:r>
      <w:proofErr w:type="spellEnd"/>
      <w:r>
        <w:t xml:space="preserve"> brings down the opinion that there is a mitzvah for a father to be mechanech his son in the mitzvah of nazir.</w:t>
      </w:r>
      <w:r>
        <w:rPr>
          <w:rStyle w:val="FootnoteReference"/>
          <w:rFonts w:cs="Times New Roman"/>
        </w:rPr>
        <w:footnoteReference w:id="8"/>
      </w:r>
      <w:r>
        <w:rPr>
          <w:rFonts w:cs="Times New Roman"/>
        </w:rPr>
        <w:t xml:space="preserve">   </w:t>
      </w:r>
      <w:r>
        <w:t xml:space="preserve">The </w:t>
      </w:r>
      <w:proofErr w:type="spellStart"/>
      <w:r>
        <w:t>Maharatz</w:t>
      </w:r>
      <w:proofErr w:type="spellEnd"/>
      <w:r>
        <w:t xml:space="preserve"> </w:t>
      </w:r>
      <w:proofErr w:type="spellStart"/>
      <w:r>
        <w:t>Chayis</w:t>
      </w:r>
      <w:proofErr w:type="spellEnd"/>
      <w:r>
        <w:t xml:space="preserve"> asks why nezirus would possibly fall into the realm of chinuch. </w:t>
      </w:r>
      <w:proofErr w:type="spellStart"/>
      <w:r>
        <w:t>Chinuch</w:t>
      </w:r>
      <w:proofErr w:type="spellEnd"/>
      <w:r>
        <w:t xml:space="preserve"> is for </w:t>
      </w:r>
      <w:proofErr w:type="spellStart"/>
      <w:r>
        <w:t>mitzvos</w:t>
      </w:r>
      <w:proofErr w:type="spellEnd"/>
      <w:r>
        <w:t xml:space="preserve"> that a child would routinely perform once he becomes of age, or mitzvos that he will be encouraged to perform, and nezirus does not fit that bill. Why then educate him in a mitzva that he will probably never perform, and according to Rebbe Eleazar Hakefar he should not be performing?</w:t>
      </w:r>
    </w:p>
    <w:p w14:paraId="01E0B02D" w14:textId="78B1E2FF" w:rsidR="00793BDD" w:rsidRPr="00FB5F33" w:rsidRDefault="00793BDD" w:rsidP="00605415">
      <w:pPr>
        <w:spacing w:line="360" w:lineRule="auto"/>
        <w:ind w:firstLine="720"/>
        <w:rPr>
          <w:rFonts w:cs="Times New Roman"/>
        </w:rPr>
      </w:pPr>
      <w:r>
        <w:rPr>
          <w:rFonts w:cs="Times New Roman"/>
        </w:rPr>
        <w:t xml:space="preserve">Perhaps based on the approach mentioned earlier that becoming an actual nazir is on the low rung of a life of consecration and dedication but conceptually there is nezirus beyond that, one resolves both questions. </w:t>
      </w:r>
      <w:r>
        <w:t xml:space="preserve">This individual, even after his technical nezirus has ended, is reminded that what lies in front of him is a continued and even more elevated path of consecration. His nezirus has ended but now he has graduated to a more complicated but loftier place of kivun L’Shamayim. That is probably why the Torah states </w:t>
      </w:r>
      <w:r>
        <w:lastRenderedPageBreak/>
        <w:t>that now that he is no longer a nazir that specifically ‘</w:t>
      </w:r>
      <w:r>
        <w:rPr>
          <w:rFonts w:cs="Times New Roman"/>
          <w:i/>
          <w:iCs/>
        </w:rPr>
        <w:t>yishte es ha’yayin</w:t>
      </w:r>
      <w:r>
        <w:rPr>
          <w:rFonts w:cs="Times New Roman"/>
        </w:rPr>
        <w:t>’,</w:t>
      </w:r>
      <w:r>
        <w:rPr>
          <w:rStyle w:val="FootnoteReference"/>
          <w:rFonts w:cs="Times New Roman"/>
        </w:rPr>
        <w:footnoteReference w:id="9"/>
      </w:r>
      <w:r>
        <w:t xml:space="preserve"> it is not merely that he may drink wine, but that he should drink wine to demonstrate his developed capacity to be a person of the world while yet remaining fully consecrated to HKB’H.</w:t>
      </w:r>
    </w:p>
    <w:p w14:paraId="36C75CF4" w14:textId="5B5E4B25" w:rsidR="008C7CD4" w:rsidRPr="00FB5F33" w:rsidRDefault="008C7CD4" w:rsidP="00605415">
      <w:pPr>
        <w:spacing w:line="360" w:lineRule="auto"/>
        <w:ind w:firstLine="720"/>
        <w:rPr>
          <w:rFonts w:cs="Times New Roman"/>
        </w:rPr>
      </w:pPr>
      <w:r>
        <w:rPr>
          <w:rFonts w:cs="Times New Roman"/>
        </w:rPr>
        <w:t xml:space="preserve">Similarly, the father is mechanech his son to become a nazir not because being an actual nazir is particularly significant. </w:t>
      </w:r>
      <w:r>
        <w:t xml:space="preserve">Rather, it is </w:t>
      </w:r>
      <w:proofErr w:type="spellStart"/>
      <w:r>
        <w:t>chinuch</w:t>
      </w:r>
      <w:proofErr w:type="spellEnd"/>
      <w:r>
        <w:t xml:space="preserve"> for a life of dedication, no matter what form that consecration takes. Sometimes that might be in the form of being an actual nazir, but more often it is educating and modeling one’s child as to what it means to live life fully in this world while being completely geared towards a life of elevation. </w:t>
      </w:r>
    </w:p>
    <w:p w14:paraId="6CD52499" w14:textId="4B75A3AE" w:rsidR="008C7CD4" w:rsidRPr="00FB5F33" w:rsidRDefault="008C7CD4" w:rsidP="00605415">
      <w:pPr>
        <w:spacing w:line="360" w:lineRule="auto"/>
        <w:ind w:firstLine="720"/>
        <w:rPr>
          <w:rFonts w:cs="Times New Roman"/>
        </w:rPr>
      </w:pPr>
      <w:r>
        <w:rPr>
          <w:rFonts w:cs="Times New Roman"/>
        </w:rPr>
        <w:t>The Ibn Ezra writes that the nazir is ‘</w:t>
      </w:r>
      <w:r>
        <w:rPr>
          <w:rFonts w:cs="Times New Roman"/>
          <w:i/>
          <w:iCs/>
        </w:rPr>
        <w:t>mafli</w:t>
      </w:r>
      <w:r>
        <w:rPr>
          <w:rFonts w:cs="Times New Roman"/>
        </w:rPr>
        <w:t xml:space="preserve">’ himself in his vow of nezirus. </w:t>
      </w:r>
      <w:r>
        <w:t>The Ibn Ezra says that this comes from the word ‘pele’ – wondrous – because he is going against what most of the world is doing. Of equal pele is the person who doesn’t need to take the vow of nezirus but joyfully and intentionally raises his life and the lives of those around him by being very much a part of the world.</w:t>
      </w:r>
    </w:p>
    <w:p w14:paraId="35330629" w14:textId="48748A79" w:rsidR="007E7768" w:rsidRPr="004B2140" w:rsidRDefault="007E7768" w:rsidP="00605415">
      <w:pPr>
        <w:spacing w:line="360" w:lineRule="auto"/>
        <w:ind w:firstLine="720"/>
        <w:rPr>
          <w:rFonts w:ascii="Times New Roman" w:hAnsi="Times New Roman" w:cs="Times New Roman"/>
        </w:rPr>
      </w:pPr>
      <w:r>
        <w:rPr>
          <w:rFonts w:cs="Times New Roman"/>
        </w:rPr>
        <w:t>As we commemorate Brian’s 7</w:t>
      </w:r>
      <w:r>
        <w:rPr>
          <w:rFonts w:cs="Times New Roman"/>
          <w:vertAlign w:val="superscript"/>
        </w:rPr>
        <w:t>th</w:t>
      </w:r>
      <w:r>
        <w:rPr>
          <w:rFonts w:cs="Times New Roman"/>
        </w:rPr>
        <w:t xml:space="preserve"> year yahrtzeit I think about a person who was thoroughly, universally and ubiquitously loved. </w:t>
      </w:r>
      <w:r>
        <w:t>Many things can account for that – his magnetic personality, his fundamental goodness, his generosity, his sense of humor, and his dedication to family, friends, and patients, to name a few. However, there is something more: the fullness with which Brian loved life and engaged in it. The giant smile, his way of walking, his love of Torah, his total enjoyment of people, his energy, his delight in small moments of ridiculousness – he was fully engaged in this world and did so in a way that allowed him to develop an incredibly deep, rich, and broad connection with HKB’H, His Torah and His people. In his own way he was the paradigm of the true nazir, someone who</w:t>
      </w:r>
      <w:r>
        <w:rPr>
          <w:rFonts w:cs="Times New Roman"/>
        </w:rPr>
        <w:t xml:space="preserve">se life was </w:t>
      </w:r>
      <w:r>
        <w:t>fully consecrated – and in that sense, he was a true pele. He is and will always be missed a</w:t>
      </w:r>
      <w:r>
        <w:rPr>
          <w:rFonts w:ascii="Times New Roman" w:hAnsi="Times New Roman" w:cs="Times New Roman"/>
        </w:rPr>
        <w:t>nd beloved.</w:t>
      </w:r>
    </w:p>
    <w:sectPr w:rsidR="007E7768" w:rsidRPr="004B21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C37F2" w14:textId="77777777" w:rsidR="00F63D8C" w:rsidRDefault="00F63D8C" w:rsidP="0003562F">
      <w:pPr>
        <w:spacing w:after="0" w:line="240" w:lineRule="auto"/>
      </w:pPr>
      <w:r>
        <w:separator/>
      </w:r>
    </w:p>
  </w:endnote>
  <w:endnote w:type="continuationSeparator" w:id="0">
    <w:p w14:paraId="6F3E347D" w14:textId="77777777" w:rsidR="00F63D8C" w:rsidRDefault="00F63D8C" w:rsidP="000356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CCA04" w14:textId="77777777" w:rsidR="00F63D8C" w:rsidRDefault="00F63D8C" w:rsidP="0003562F">
      <w:pPr>
        <w:spacing w:after="0" w:line="240" w:lineRule="auto"/>
      </w:pPr>
      <w:r>
        <w:separator/>
      </w:r>
    </w:p>
  </w:footnote>
  <w:footnote w:type="continuationSeparator" w:id="0">
    <w:p w14:paraId="5BA2A0B6" w14:textId="77777777" w:rsidR="00F63D8C" w:rsidRDefault="00F63D8C" w:rsidP="0003562F">
      <w:pPr>
        <w:spacing w:after="0" w:line="240" w:lineRule="auto"/>
      </w:pPr>
      <w:r>
        <w:continuationSeparator/>
      </w:r>
    </w:p>
  </w:footnote>
  <w:footnote w:id="1">
    <w:p w14:paraId="1F2CA8EB" w14:textId="0DDEF27C" w:rsidR="00B66556" w:rsidRDefault="00B66556">
      <w:pPr>
        <w:pStyle w:val="FootnoteText"/>
      </w:pPr>
      <w:r>
        <w:rPr>
          <w:rStyle w:val="FootnoteReference"/>
        </w:rPr>
        <w:footnoteRef/>
      </w:r>
      <w:r>
        <w:t xml:space="preserve"> The </w:t>
      </w:r>
      <w:proofErr w:type="spellStart"/>
      <w:r>
        <w:t>gemarah</w:t>
      </w:r>
      <w:proofErr w:type="spellEnd"/>
      <w:r>
        <w:t xml:space="preserve"> itself is bothered by this and says that while all </w:t>
      </w:r>
      <w:proofErr w:type="spellStart"/>
      <w:r>
        <w:t>nezirim</w:t>
      </w:r>
      <w:proofErr w:type="spellEnd"/>
      <w:r>
        <w:t xml:space="preserve"> </w:t>
      </w:r>
      <w:proofErr w:type="gramStart"/>
      <w:r>
        <w:t>have to</w:t>
      </w:r>
      <w:proofErr w:type="gramEnd"/>
      <w:r>
        <w:t xml:space="preserve"> bring a korban </w:t>
      </w:r>
      <w:proofErr w:type="spellStart"/>
      <w:r>
        <w:t>chattas</w:t>
      </w:r>
      <w:proofErr w:type="spellEnd"/>
      <w:r>
        <w:t xml:space="preserve"> the only nazir who is called a </w:t>
      </w:r>
      <w:proofErr w:type="spellStart"/>
      <w:r>
        <w:t>choteh</w:t>
      </w:r>
      <w:proofErr w:type="spellEnd"/>
      <w:r>
        <w:t xml:space="preserve"> is the one who became ritually impure during his </w:t>
      </w:r>
      <w:proofErr w:type="spellStart"/>
      <w:r>
        <w:t>nezirus</w:t>
      </w:r>
      <w:proofErr w:type="spellEnd"/>
      <w:r>
        <w:t>.</w:t>
      </w:r>
    </w:p>
  </w:footnote>
  <w:footnote w:id="2">
    <w:p w14:paraId="3AFC518C" w14:textId="3EBEC545" w:rsidR="00B66556" w:rsidRDefault="00B66556">
      <w:pPr>
        <w:pStyle w:val="FootnoteText"/>
      </w:pPr>
      <w:r>
        <w:rPr>
          <w:rStyle w:val="EndnoteReference"/>
        </w:rPr>
        <w:footnoteRef/>
      </w:r>
      <w:r>
        <w:t xml:space="preserve"> Rabbi Shlomo Astruc (13</w:t>
      </w:r>
      <w:r w:rsidRPr="006063BF">
        <w:rPr>
          <w:vertAlign w:val="superscript"/>
        </w:rPr>
        <w:t>th</w:t>
      </w:r>
      <w:r>
        <w:t xml:space="preserve"> century student of the </w:t>
      </w:r>
      <w:proofErr w:type="spellStart"/>
      <w:r>
        <w:t>Rashba</w:t>
      </w:r>
      <w:proofErr w:type="spellEnd"/>
      <w:r>
        <w:t xml:space="preserve">) in his </w:t>
      </w:r>
      <w:proofErr w:type="spellStart"/>
      <w:r>
        <w:t>sefer</w:t>
      </w:r>
      <w:proofErr w:type="spellEnd"/>
      <w:r>
        <w:t xml:space="preserve"> </w:t>
      </w:r>
      <w:proofErr w:type="spellStart"/>
      <w:r>
        <w:t>Midreshei</w:t>
      </w:r>
      <w:proofErr w:type="spellEnd"/>
      <w:r>
        <w:t xml:space="preserve"> </w:t>
      </w:r>
      <w:proofErr w:type="spellStart"/>
      <w:r>
        <w:t>HaTorah</w:t>
      </w:r>
      <w:proofErr w:type="spellEnd"/>
      <w:r>
        <w:t xml:space="preserve"> argues that the </w:t>
      </w:r>
      <w:proofErr w:type="spellStart"/>
      <w:r>
        <w:t>nazair</w:t>
      </w:r>
      <w:proofErr w:type="spellEnd"/>
      <w:r>
        <w:t xml:space="preserve"> is a </w:t>
      </w:r>
      <w:proofErr w:type="spellStart"/>
      <w:r>
        <w:t>choteh</w:t>
      </w:r>
      <w:proofErr w:type="spellEnd"/>
      <w:r>
        <w:t xml:space="preserve"> not because of the vow of </w:t>
      </w:r>
      <w:proofErr w:type="spellStart"/>
      <w:r>
        <w:t>nezirus</w:t>
      </w:r>
      <w:proofErr w:type="spellEnd"/>
      <w:r>
        <w:t xml:space="preserve"> but rather because of </w:t>
      </w:r>
      <w:proofErr w:type="gramStart"/>
      <w:r>
        <w:t>all of</w:t>
      </w:r>
      <w:proofErr w:type="gramEnd"/>
      <w:r>
        <w:t xml:space="preserve"> his excesses that necessitated </w:t>
      </w:r>
      <w:proofErr w:type="spellStart"/>
      <w:r>
        <w:t>nezirus</w:t>
      </w:r>
      <w:proofErr w:type="spellEnd"/>
      <w:r>
        <w:t xml:space="preserve"> in the first place.</w:t>
      </w:r>
    </w:p>
  </w:footnote>
  <w:footnote w:id="3">
    <w:p w14:paraId="538C5C96" w14:textId="1B3E97F2" w:rsidR="0087329E" w:rsidRDefault="0087329E">
      <w:pPr>
        <w:pStyle w:val="FootnoteText"/>
      </w:pPr>
      <w:r>
        <w:rPr>
          <w:rStyle w:val="FootnoteReference"/>
        </w:rPr>
        <w:footnoteRef/>
      </w:r>
      <w:r>
        <w:t xml:space="preserve"> Some have wondered that is the issue at hand is one of abstaining or not abstaining from physical pleasure than the Torah’s three prohibitions of not drinking wine, cutting one’s hair, and becoming ritually impure is both somewhat unusual </w:t>
      </w:r>
      <w:proofErr w:type="gramStart"/>
      <w:r>
        <w:t>and also</w:t>
      </w:r>
      <w:proofErr w:type="gramEnd"/>
      <w:r>
        <w:t xml:space="preserve"> perhaps far too short. Presumably based on these considerations, the </w:t>
      </w:r>
      <w:proofErr w:type="spellStart"/>
      <w:r>
        <w:t>Kli</w:t>
      </w:r>
      <w:proofErr w:type="spellEnd"/>
      <w:r>
        <w:t xml:space="preserve"> Yakar and others argue that the real issue at hand is that the nazir wishes to separate himself from the normal behavior of the community and create his own somewhat divergent path in the service of G-d. This </w:t>
      </w:r>
      <w:proofErr w:type="spellStart"/>
      <w:r>
        <w:t>perishus</w:t>
      </w:r>
      <w:proofErr w:type="spellEnd"/>
      <w:r>
        <w:t xml:space="preserve"> from the nation is the real nature of his </w:t>
      </w:r>
      <w:proofErr w:type="spellStart"/>
      <w:r>
        <w:t>cheit</w:t>
      </w:r>
      <w:proofErr w:type="spellEnd"/>
      <w:r>
        <w:t xml:space="preserve">. This fascinating position obviously does not coincide with the Rebbe Elazar, the </w:t>
      </w:r>
      <w:proofErr w:type="spellStart"/>
      <w:r>
        <w:t>Ramban</w:t>
      </w:r>
      <w:proofErr w:type="spellEnd"/>
      <w:r>
        <w:t xml:space="preserve"> and their school of thought.</w:t>
      </w:r>
    </w:p>
  </w:footnote>
  <w:footnote w:id="4">
    <w:p w14:paraId="290BAEC1" w14:textId="36C10587" w:rsidR="00362A02" w:rsidRDefault="00362A02">
      <w:pPr>
        <w:pStyle w:val="FootnoteText"/>
      </w:pPr>
      <w:r>
        <w:rPr>
          <w:rStyle w:val="FootnoteReference"/>
        </w:rPr>
        <w:footnoteRef/>
      </w:r>
      <w:r>
        <w:t xml:space="preserve"> For other examples of those who argue for a healthy middle path see Yehuda Halevi in </w:t>
      </w:r>
      <w:proofErr w:type="spellStart"/>
      <w:r>
        <w:t>Kuzari</w:t>
      </w:r>
      <w:proofErr w:type="spellEnd"/>
      <w:r w:rsidR="009E7AAC">
        <w:t xml:space="preserve"> 2:50 and in </w:t>
      </w:r>
      <w:proofErr w:type="spellStart"/>
      <w:r w:rsidR="009E7AAC">
        <w:t>Aristotles</w:t>
      </w:r>
      <w:proofErr w:type="spellEnd"/>
      <w:r w:rsidR="009E7AAC">
        <w:t xml:space="preserve"> Nicomachean Ethics. The Rambam’s approach differs in that he seems to argue that following the path of moderation fulfills the Torah’s dictate of following in G-d’s ways. See </w:t>
      </w:r>
      <w:proofErr w:type="spellStart"/>
      <w:r w:rsidR="009E7AAC">
        <w:t>Dei’os</w:t>
      </w:r>
      <w:proofErr w:type="spellEnd"/>
      <w:r w:rsidR="009E7AAC">
        <w:t xml:space="preserve"> 1:5)</w:t>
      </w:r>
    </w:p>
  </w:footnote>
  <w:footnote w:id="5">
    <w:p w14:paraId="795AA16E" w14:textId="79D84CD0" w:rsidR="00A002B3" w:rsidRDefault="00A002B3">
      <w:pPr>
        <w:pStyle w:val="FootnoteText"/>
      </w:pPr>
      <w:r>
        <w:rPr>
          <w:rStyle w:val="FootnoteReference"/>
        </w:rPr>
        <w:footnoteRef/>
      </w:r>
      <w:r>
        <w:t xml:space="preserve"> See </w:t>
      </w:r>
      <w:r w:rsidR="00FE7E6A">
        <w:t xml:space="preserve">for example </w:t>
      </w:r>
      <w:r>
        <w:t xml:space="preserve">Keren Orah Ta’anis 11a, Shelah </w:t>
      </w:r>
      <w:proofErr w:type="spellStart"/>
      <w:r>
        <w:t>Parshas</w:t>
      </w:r>
      <w:proofErr w:type="spellEnd"/>
      <w:r>
        <w:t xml:space="preserve"> Nasso, Shut </w:t>
      </w:r>
      <w:proofErr w:type="spellStart"/>
      <w:r>
        <w:t>Radvaz</w:t>
      </w:r>
      <w:proofErr w:type="spellEnd"/>
      <w:r>
        <w:t xml:space="preserve"> </w:t>
      </w:r>
      <w:r w:rsidR="00FE7E6A">
        <w:t xml:space="preserve">3:861 </w:t>
      </w:r>
    </w:p>
  </w:footnote>
  <w:footnote w:id="6">
    <w:p w14:paraId="587CE4DF" w14:textId="0F5D8330" w:rsidR="00FE7E6A" w:rsidRDefault="00FE7E6A">
      <w:pPr>
        <w:pStyle w:val="FootnoteText"/>
      </w:pPr>
      <w:r>
        <w:rPr>
          <w:rStyle w:val="FootnoteReference"/>
        </w:rPr>
        <w:footnoteRef/>
      </w:r>
      <w:r>
        <w:t xml:space="preserve"> See the </w:t>
      </w:r>
      <w:proofErr w:type="spellStart"/>
      <w:r>
        <w:t>Nesivos</w:t>
      </w:r>
      <w:proofErr w:type="spellEnd"/>
      <w:r>
        <w:t xml:space="preserve"> Shalom in </w:t>
      </w:r>
      <w:proofErr w:type="spellStart"/>
      <w:r>
        <w:t>Parshas</w:t>
      </w:r>
      <w:proofErr w:type="spellEnd"/>
      <w:r>
        <w:t xml:space="preserve"> Nasso who has a similar but different formulation</w:t>
      </w:r>
    </w:p>
  </w:footnote>
  <w:footnote w:id="7">
    <w:p w14:paraId="603D29FB" w14:textId="4FCF8F6F" w:rsidR="00C002E5" w:rsidRDefault="00C002E5">
      <w:pPr>
        <w:pStyle w:val="FootnoteText"/>
      </w:pPr>
      <w:r>
        <w:rPr>
          <w:rStyle w:val="FootnoteReference"/>
        </w:rPr>
        <w:footnoteRef/>
      </w:r>
      <w:r>
        <w:t xml:space="preserve"> In this sense the Chazal’s comparison of the nazir to a </w:t>
      </w:r>
      <w:proofErr w:type="spellStart"/>
      <w:r>
        <w:t>kohein</w:t>
      </w:r>
      <w:proofErr w:type="spellEnd"/>
      <w:r>
        <w:t xml:space="preserve"> is significant. </w:t>
      </w:r>
    </w:p>
  </w:footnote>
  <w:footnote w:id="8">
    <w:p w14:paraId="46CC1A18" w14:textId="7A5E1ADC" w:rsidR="00793BDD" w:rsidRDefault="00793BDD">
      <w:pPr>
        <w:pStyle w:val="FootnoteText"/>
      </w:pPr>
      <w:r>
        <w:rPr>
          <w:rStyle w:val="FootnoteReference"/>
        </w:rPr>
        <w:footnoteRef/>
      </w:r>
      <w:r>
        <w:t xml:space="preserve"> See a lengthy discussion in the Rishonim and </w:t>
      </w:r>
      <w:proofErr w:type="spellStart"/>
      <w:r>
        <w:t>Acharonim</w:t>
      </w:r>
      <w:proofErr w:type="spellEnd"/>
      <w:r>
        <w:t xml:space="preserve"> as to why the mitzva of </w:t>
      </w:r>
      <w:proofErr w:type="spellStart"/>
      <w:r>
        <w:t>chinuch</w:t>
      </w:r>
      <w:proofErr w:type="spellEnd"/>
      <w:r>
        <w:t xml:space="preserve"> </w:t>
      </w:r>
      <w:proofErr w:type="spellStart"/>
      <w:r>
        <w:t>l’nezirus</w:t>
      </w:r>
      <w:proofErr w:type="spellEnd"/>
      <w:r>
        <w:t xml:space="preserve"> would not extend to a daughter as well</w:t>
      </w:r>
    </w:p>
  </w:footnote>
  <w:footnote w:id="9">
    <w:p w14:paraId="11E1C836" w14:textId="6CE3B79F" w:rsidR="00B51C53" w:rsidRDefault="00B51C53">
      <w:pPr>
        <w:pStyle w:val="FootnoteText"/>
      </w:pPr>
      <w:r>
        <w:rPr>
          <w:rStyle w:val="FootnoteReference"/>
        </w:rPr>
        <w:footnoteRef/>
      </w:r>
      <w:r>
        <w:t xml:space="preserve"> See the Noam Elimelech for a further discussion of this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7F0"/>
    <w:rsid w:val="0003157F"/>
    <w:rsid w:val="0003562F"/>
    <w:rsid w:val="00140F24"/>
    <w:rsid w:val="00277015"/>
    <w:rsid w:val="00310B3E"/>
    <w:rsid w:val="00362A02"/>
    <w:rsid w:val="004B2140"/>
    <w:rsid w:val="00565F08"/>
    <w:rsid w:val="005724BA"/>
    <w:rsid w:val="00595EE1"/>
    <w:rsid w:val="005A58C2"/>
    <w:rsid w:val="005D1772"/>
    <w:rsid w:val="00605415"/>
    <w:rsid w:val="006063BF"/>
    <w:rsid w:val="006855F8"/>
    <w:rsid w:val="00746584"/>
    <w:rsid w:val="00793BDD"/>
    <w:rsid w:val="007E7768"/>
    <w:rsid w:val="008107F0"/>
    <w:rsid w:val="0087329E"/>
    <w:rsid w:val="008C7CD4"/>
    <w:rsid w:val="009E7AAC"/>
    <w:rsid w:val="00A002B3"/>
    <w:rsid w:val="00A3646D"/>
    <w:rsid w:val="00A47A95"/>
    <w:rsid w:val="00A86517"/>
    <w:rsid w:val="00B51C53"/>
    <w:rsid w:val="00B66556"/>
    <w:rsid w:val="00BA668A"/>
    <w:rsid w:val="00C002E5"/>
    <w:rsid w:val="00C03510"/>
    <w:rsid w:val="00C337C9"/>
    <w:rsid w:val="00C75A80"/>
    <w:rsid w:val="00D5116F"/>
    <w:rsid w:val="00D927DF"/>
    <w:rsid w:val="00E6760D"/>
    <w:rsid w:val="00EB0437"/>
    <w:rsid w:val="00ED5DCC"/>
    <w:rsid w:val="00F63D8C"/>
    <w:rsid w:val="00FB5F33"/>
    <w:rsid w:val="00FE7E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3488"/>
  <w15:chartTrackingRefBased/>
  <w15:docId w15:val="{A024D441-4C9B-4E27-811B-D50D22773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7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07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07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07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07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07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7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7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7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7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07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07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07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07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07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7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7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7F0"/>
    <w:rPr>
      <w:rFonts w:eastAsiaTheme="majorEastAsia" w:cstheme="majorBidi"/>
      <w:color w:val="272727" w:themeColor="text1" w:themeTint="D8"/>
    </w:rPr>
  </w:style>
  <w:style w:type="paragraph" w:styleId="Title">
    <w:name w:val="Title"/>
    <w:basedOn w:val="Normal"/>
    <w:next w:val="Normal"/>
    <w:link w:val="TitleChar"/>
    <w:uiPriority w:val="10"/>
    <w:qFormat/>
    <w:rsid w:val="008107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7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7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7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7F0"/>
    <w:pPr>
      <w:spacing w:before="160"/>
      <w:jc w:val="center"/>
    </w:pPr>
    <w:rPr>
      <w:i/>
      <w:iCs/>
      <w:color w:val="404040" w:themeColor="text1" w:themeTint="BF"/>
    </w:rPr>
  </w:style>
  <w:style w:type="character" w:customStyle="1" w:styleId="QuoteChar">
    <w:name w:val="Quote Char"/>
    <w:basedOn w:val="DefaultParagraphFont"/>
    <w:link w:val="Quote"/>
    <w:uiPriority w:val="29"/>
    <w:rsid w:val="008107F0"/>
    <w:rPr>
      <w:i/>
      <w:iCs/>
      <w:color w:val="404040" w:themeColor="text1" w:themeTint="BF"/>
    </w:rPr>
  </w:style>
  <w:style w:type="paragraph" w:styleId="ListParagraph">
    <w:name w:val="List Paragraph"/>
    <w:basedOn w:val="Normal"/>
    <w:uiPriority w:val="34"/>
    <w:qFormat/>
    <w:rsid w:val="008107F0"/>
    <w:pPr>
      <w:ind w:left="720"/>
      <w:contextualSpacing/>
    </w:pPr>
  </w:style>
  <w:style w:type="character" w:styleId="IntenseEmphasis">
    <w:name w:val="Intense Emphasis"/>
    <w:basedOn w:val="DefaultParagraphFont"/>
    <w:uiPriority w:val="21"/>
    <w:qFormat/>
    <w:rsid w:val="008107F0"/>
    <w:rPr>
      <w:i/>
      <w:iCs/>
      <w:color w:val="0F4761" w:themeColor="accent1" w:themeShade="BF"/>
    </w:rPr>
  </w:style>
  <w:style w:type="paragraph" w:styleId="IntenseQuote">
    <w:name w:val="Intense Quote"/>
    <w:basedOn w:val="Normal"/>
    <w:next w:val="Normal"/>
    <w:link w:val="IntenseQuoteChar"/>
    <w:uiPriority w:val="30"/>
    <w:qFormat/>
    <w:rsid w:val="008107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07F0"/>
    <w:rPr>
      <w:i/>
      <w:iCs/>
      <w:color w:val="0F4761" w:themeColor="accent1" w:themeShade="BF"/>
    </w:rPr>
  </w:style>
  <w:style w:type="character" w:styleId="IntenseReference">
    <w:name w:val="Intense Reference"/>
    <w:basedOn w:val="DefaultParagraphFont"/>
    <w:uiPriority w:val="32"/>
    <w:qFormat/>
    <w:rsid w:val="008107F0"/>
    <w:rPr>
      <w:b/>
      <w:bCs/>
      <w:smallCaps/>
      <w:color w:val="0F4761" w:themeColor="accent1" w:themeShade="BF"/>
      <w:spacing w:val="5"/>
    </w:rPr>
  </w:style>
  <w:style w:type="paragraph" w:styleId="EndnoteText">
    <w:name w:val="endnote text"/>
    <w:basedOn w:val="Normal"/>
    <w:link w:val="EndnoteTextChar"/>
    <w:uiPriority w:val="99"/>
    <w:semiHidden/>
    <w:unhideWhenUsed/>
    <w:rsid w:val="0003562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562F"/>
    <w:rPr>
      <w:sz w:val="20"/>
      <w:szCs w:val="20"/>
    </w:rPr>
  </w:style>
  <w:style w:type="character" w:styleId="EndnoteReference">
    <w:name w:val="endnote reference"/>
    <w:basedOn w:val="DefaultParagraphFont"/>
    <w:uiPriority w:val="99"/>
    <w:semiHidden/>
    <w:unhideWhenUsed/>
    <w:rsid w:val="0003562F"/>
    <w:rPr>
      <w:vertAlign w:val="superscript"/>
    </w:rPr>
  </w:style>
  <w:style w:type="paragraph" w:styleId="FootnoteText">
    <w:name w:val="footnote text"/>
    <w:basedOn w:val="Normal"/>
    <w:link w:val="FootnoteTextChar"/>
    <w:uiPriority w:val="99"/>
    <w:semiHidden/>
    <w:unhideWhenUsed/>
    <w:rsid w:val="00B6655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66556"/>
    <w:rPr>
      <w:sz w:val="20"/>
      <w:szCs w:val="20"/>
    </w:rPr>
  </w:style>
  <w:style w:type="character" w:styleId="FootnoteReference">
    <w:name w:val="footnote reference"/>
    <w:basedOn w:val="DefaultParagraphFont"/>
    <w:uiPriority w:val="99"/>
    <w:semiHidden/>
    <w:unhideWhenUsed/>
    <w:rsid w:val="00B66556"/>
    <w:rPr>
      <w:vertAlign w:val="superscript"/>
    </w:rPr>
  </w:style>
  <w:style w:type="paragraph" w:styleId="Revision">
    <w:name w:val="Revision"/>
    <w:hidden/>
    <w:uiPriority w:val="99"/>
    <w:semiHidden/>
    <w:rsid w:val="00A865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2E26-E75A-4B96-9C57-00DD065262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2767</Words>
  <Characters>11955</Characters>
  <Application>Microsoft Office Word</Application>
  <DocSecurity>0</DocSecurity>
  <Lines>341</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Ilana Blass</dc:creator>
  <cp:keywords/>
  <dc:description/>
  <cp:lastModifiedBy>Ilana Blass</cp:lastModifiedBy>
  <cp:revision>2</cp:revision>
  <dcterms:created xsi:type="dcterms:W3CDTF">2026-07-21T22:00:00Z</dcterms:created>
  <dcterms:modified xsi:type="dcterms:W3CDTF">2026-07-21T22:00:00Z</dcterms:modified>
</cp:coreProperties>
</file>