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2A2D5" w14:textId="77777777" w:rsidR="00B775ED" w:rsidRPr="000576B0" w:rsidRDefault="00B775ED" w:rsidP="00B775ED">
      <w:pPr>
        <w:bidi w:val="0"/>
        <w:rPr>
          <w:rFonts w:ascii="David" w:hAnsi="David" w:cs="David"/>
          <w:sz w:val="24"/>
          <w:szCs w:val="24"/>
        </w:rPr>
      </w:pPr>
      <w:r w:rsidRPr="000576B0">
        <w:rPr>
          <w:rFonts w:ascii="David" w:hAnsi="David" w:cs="David"/>
          <w:sz w:val="24"/>
          <w:szCs w:val="24"/>
        </w:rPr>
        <w:t>“TREE TASTES LIKE THE FRUIT"- Sukkot/Etrog as a Microcosm of Eretz Yisrael</w:t>
      </w:r>
    </w:p>
    <w:p w14:paraId="3DADA643" w14:textId="277D9E4A" w:rsidR="00B775ED" w:rsidRPr="000576B0" w:rsidRDefault="00B775ED" w:rsidP="00B775ED">
      <w:pPr>
        <w:bidi w:val="0"/>
        <w:rPr>
          <w:rFonts w:ascii="David" w:hAnsi="David" w:cs="David"/>
          <w:sz w:val="24"/>
          <w:szCs w:val="24"/>
        </w:rPr>
      </w:pPr>
      <w:r w:rsidRPr="000576B0">
        <w:rPr>
          <w:rFonts w:ascii="David" w:hAnsi="David" w:cs="David"/>
          <w:sz w:val="24"/>
          <w:szCs w:val="24"/>
        </w:rPr>
        <w:t>Rav Kook points out (</w:t>
      </w:r>
      <w:proofErr w:type="spellStart"/>
      <w:r w:rsidRPr="000576B0">
        <w:rPr>
          <w:rFonts w:ascii="David" w:hAnsi="David" w:cs="David"/>
          <w:sz w:val="24"/>
          <w:szCs w:val="24"/>
        </w:rPr>
        <w:t>Orot</w:t>
      </w:r>
      <w:proofErr w:type="spellEnd"/>
      <w:r w:rsidRPr="000576B0">
        <w:rPr>
          <w:rFonts w:ascii="David" w:hAnsi="David" w:cs="David"/>
          <w:sz w:val="24"/>
          <w:szCs w:val="24"/>
        </w:rPr>
        <w:t xml:space="preserve"> </w:t>
      </w:r>
      <w:proofErr w:type="spellStart"/>
      <w:r w:rsidRPr="000576B0">
        <w:rPr>
          <w:rFonts w:ascii="David" w:hAnsi="David" w:cs="David"/>
          <w:sz w:val="24"/>
          <w:szCs w:val="24"/>
        </w:rPr>
        <w:t>HaTeshuva</w:t>
      </w:r>
      <w:proofErr w:type="spellEnd"/>
      <w:r w:rsidRPr="000576B0">
        <w:rPr>
          <w:rFonts w:ascii="David" w:hAnsi="David" w:cs="David"/>
          <w:sz w:val="24"/>
          <w:szCs w:val="24"/>
        </w:rPr>
        <w:t xml:space="preserve"> 6, 7) that just as most of the tree is roots, trunk, branches and leaves, despite the fact that the goal of an apple tree is her fruit, similarly most of life is preparations (e.g. eating, </w:t>
      </w:r>
      <w:r w:rsidR="009138C6">
        <w:rPr>
          <w:rFonts w:ascii="David" w:hAnsi="David" w:cs="David"/>
          <w:sz w:val="24"/>
          <w:szCs w:val="24"/>
        </w:rPr>
        <w:t xml:space="preserve">sleep, </w:t>
      </w:r>
      <w:r w:rsidRPr="000576B0">
        <w:rPr>
          <w:rFonts w:ascii="David" w:hAnsi="David" w:cs="David"/>
          <w:sz w:val="24"/>
          <w:szCs w:val="24"/>
        </w:rPr>
        <w:t xml:space="preserve">dress, work, cooking, </w:t>
      </w:r>
      <w:r w:rsidR="009138C6">
        <w:rPr>
          <w:rFonts w:ascii="David" w:hAnsi="David" w:cs="David"/>
          <w:sz w:val="24"/>
          <w:szCs w:val="24"/>
        </w:rPr>
        <w:t>changing diapers</w:t>
      </w:r>
      <w:r w:rsidRPr="000576B0">
        <w:rPr>
          <w:rFonts w:ascii="David" w:hAnsi="David" w:cs="David"/>
          <w:sz w:val="24"/>
          <w:szCs w:val="24"/>
        </w:rPr>
        <w:t xml:space="preserve">), and often one doesn't even achieve his goal. Does that mean that he wasted his life?! The </w:t>
      </w:r>
      <w:r w:rsidR="009138C6">
        <w:rPr>
          <w:rFonts w:ascii="David" w:hAnsi="David" w:cs="David"/>
          <w:sz w:val="24"/>
          <w:szCs w:val="24"/>
        </w:rPr>
        <w:t>existential</w:t>
      </w:r>
      <w:r w:rsidRPr="000576B0">
        <w:rPr>
          <w:rFonts w:ascii="David" w:hAnsi="David" w:cs="David"/>
          <w:sz w:val="24"/>
          <w:szCs w:val="24"/>
        </w:rPr>
        <w:t xml:space="preserve"> question is, if most of life is "tree" (= a 'means' to achieve a goal), and I want to have meaning in life, I have no choice but to find a way to have "taste" in the tree, not just in the fruit. This was the original plan in Eden (where Hashem commanded "let there be fruit trees that produce fruit", but the earth didn't listen and just grew "trees that produce fruit", </w:t>
      </w:r>
      <w:proofErr w:type="spellStart"/>
      <w:r w:rsidRPr="000576B0">
        <w:rPr>
          <w:rFonts w:ascii="David" w:hAnsi="David" w:cs="David"/>
          <w:sz w:val="24"/>
          <w:szCs w:val="24"/>
        </w:rPr>
        <w:t>Yalkut</w:t>
      </w:r>
      <w:proofErr w:type="spellEnd"/>
      <w:r w:rsidRPr="000576B0">
        <w:rPr>
          <w:rFonts w:ascii="David" w:hAnsi="David" w:cs="David"/>
          <w:sz w:val="24"/>
          <w:szCs w:val="24"/>
        </w:rPr>
        <w:t xml:space="preserve"> </w:t>
      </w:r>
      <w:proofErr w:type="spellStart"/>
      <w:r w:rsidRPr="000576B0">
        <w:rPr>
          <w:rFonts w:ascii="David" w:hAnsi="David" w:cs="David"/>
          <w:sz w:val="24"/>
          <w:szCs w:val="24"/>
        </w:rPr>
        <w:t>Shimoni</w:t>
      </w:r>
      <w:proofErr w:type="spellEnd"/>
      <w:r w:rsidRPr="000576B0">
        <w:rPr>
          <w:rFonts w:ascii="David" w:hAnsi="David" w:cs="David"/>
          <w:sz w:val="24"/>
          <w:szCs w:val="24"/>
        </w:rPr>
        <w:t xml:space="preserve"> </w:t>
      </w:r>
      <w:proofErr w:type="spellStart"/>
      <w:r w:rsidRPr="000576B0">
        <w:rPr>
          <w:rFonts w:ascii="David" w:hAnsi="David" w:cs="David"/>
          <w:sz w:val="24"/>
          <w:szCs w:val="24"/>
        </w:rPr>
        <w:t>Breishit</w:t>
      </w:r>
      <w:proofErr w:type="spellEnd"/>
      <w:r w:rsidRPr="000576B0">
        <w:rPr>
          <w:rFonts w:ascii="David" w:hAnsi="David" w:cs="David"/>
          <w:sz w:val="24"/>
          <w:szCs w:val="24"/>
        </w:rPr>
        <w:t xml:space="preserve"> 1), and is meant to be the ideal lifestyle, as expressed in the Etrog where the tree </w:t>
      </w:r>
      <w:r w:rsidR="009138C6">
        <w:rPr>
          <w:rFonts w:ascii="David" w:hAnsi="David" w:cs="David"/>
          <w:sz w:val="24"/>
          <w:szCs w:val="24"/>
        </w:rPr>
        <w:t xml:space="preserve">still </w:t>
      </w:r>
      <w:r w:rsidRPr="000576B0">
        <w:rPr>
          <w:rFonts w:ascii="David" w:hAnsi="David" w:cs="David"/>
          <w:sz w:val="24"/>
          <w:szCs w:val="24"/>
        </w:rPr>
        <w:t>tastes like her fruit (the last remnant of the ideal world, Sukkah 35a). The Vilna Gaon says that living in Eretz Yisrael is like living one's entire life in a Sukkah (Kol HaTor, p. 470), where even the secular/mundane/"tree" is not just preparation and 'means', but also has meaning/taste/holiness, and all that you do is a mitzva!</w:t>
      </w:r>
    </w:p>
    <w:p w14:paraId="49D02CDC" w14:textId="6F6C66CC" w:rsidR="00B775ED" w:rsidRPr="000576B0" w:rsidRDefault="00B775ED" w:rsidP="00B775ED">
      <w:pPr>
        <w:bidi w:val="0"/>
        <w:rPr>
          <w:rFonts w:ascii="David" w:hAnsi="David" w:cs="David"/>
          <w:sz w:val="24"/>
          <w:szCs w:val="24"/>
        </w:rPr>
      </w:pPr>
      <w:r w:rsidRPr="000576B0">
        <w:rPr>
          <w:rFonts w:ascii="David" w:hAnsi="David" w:cs="David"/>
          <w:sz w:val="24"/>
          <w:szCs w:val="24"/>
        </w:rPr>
        <w:t>Usually eating, walking, work, speaking</w:t>
      </w:r>
      <w:r w:rsidR="00145D13">
        <w:rPr>
          <w:rFonts w:ascii="David" w:hAnsi="David" w:cs="David"/>
          <w:sz w:val="24"/>
          <w:szCs w:val="24"/>
        </w:rPr>
        <w:t>, sleep</w:t>
      </w:r>
      <w:r w:rsidRPr="000576B0">
        <w:rPr>
          <w:rFonts w:ascii="David" w:hAnsi="David" w:cs="David"/>
          <w:sz w:val="24"/>
          <w:szCs w:val="24"/>
        </w:rPr>
        <w:t xml:space="preserve"> etc. are just a 'means' to achieve some higher goal in life, but in the sukkah, whatever you do there is a mitzva. Similarly in Eretz Yisrael, there is spiritual value in producing and eating her holy fruit </w:t>
      </w:r>
      <w:r w:rsidR="009138C6">
        <w:rPr>
          <w:rFonts w:ascii="David" w:hAnsi="David" w:cs="David"/>
          <w:sz w:val="24"/>
          <w:szCs w:val="24"/>
        </w:rPr>
        <w:t xml:space="preserve">and all really all occupations </w:t>
      </w:r>
      <w:r w:rsidRPr="000576B0">
        <w:rPr>
          <w:rFonts w:ascii="David" w:hAnsi="David" w:cs="David"/>
          <w:sz w:val="24"/>
          <w:szCs w:val="24"/>
        </w:rPr>
        <w:t>(</w:t>
      </w:r>
      <w:proofErr w:type="spellStart"/>
      <w:r w:rsidRPr="000576B0">
        <w:rPr>
          <w:rFonts w:ascii="David" w:hAnsi="David" w:cs="David"/>
          <w:sz w:val="24"/>
          <w:szCs w:val="24"/>
        </w:rPr>
        <w:t>Chatam</w:t>
      </w:r>
      <w:proofErr w:type="spellEnd"/>
      <w:r w:rsidRPr="000576B0">
        <w:rPr>
          <w:rFonts w:ascii="David" w:hAnsi="David" w:cs="David"/>
          <w:sz w:val="24"/>
          <w:szCs w:val="24"/>
        </w:rPr>
        <w:t xml:space="preserve"> Sofer, Suka 35); in walking 4 steps (Mishna Brura 248, 28); in speaking her Holy Language of Hebrew (Sifre, </w:t>
      </w:r>
      <w:proofErr w:type="spellStart"/>
      <w:r w:rsidRPr="000576B0">
        <w:rPr>
          <w:rFonts w:ascii="David" w:hAnsi="David" w:cs="David"/>
          <w:sz w:val="24"/>
          <w:szCs w:val="24"/>
        </w:rPr>
        <w:t>Dvarim</w:t>
      </w:r>
      <w:proofErr w:type="spellEnd"/>
      <w:r w:rsidRPr="000576B0">
        <w:rPr>
          <w:rFonts w:ascii="David" w:hAnsi="David" w:cs="David"/>
          <w:sz w:val="24"/>
          <w:szCs w:val="24"/>
        </w:rPr>
        <w:t xml:space="preserve"> 11,19), and even serving in her army is a </w:t>
      </w:r>
      <w:proofErr w:type="spellStart"/>
      <w:r w:rsidRPr="000576B0">
        <w:rPr>
          <w:rFonts w:ascii="David" w:hAnsi="David" w:cs="David"/>
          <w:sz w:val="24"/>
          <w:szCs w:val="24"/>
        </w:rPr>
        <w:t>Milchemet</w:t>
      </w:r>
      <w:proofErr w:type="spellEnd"/>
      <w:r w:rsidRPr="000576B0">
        <w:rPr>
          <w:rFonts w:ascii="David" w:hAnsi="David" w:cs="David"/>
          <w:sz w:val="24"/>
          <w:szCs w:val="24"/>
        </w:rPr>
        <w:t xml:space="preserve"> Mitzva (Rambam </w:t>
      </w:r>
      <w:proofErr w:type="spellStart"/>
      <w:r w:rsidRPr="000576B0">
        <w:rPr>
          <w:rFonts w:ascii="David" w:hAnsi="David" w:cs="David"/>
          <w:sz w:val="24"/>
          <w:szCs w:val="24"/>
        </w:rPr>
        <w:t>hil</w:t>
      </w:r>
      <w:proofErr w:type="spellEnd"/>
      <w:r w:rsidRPr="000576B0">
        <w:rPr>
          <w:rFonts w:ascii="David" w:hAnsi="David" w:cs="David"/>
          <w:sz w:val="24"/>
          <w:szCs w:val="24"/>
        </w:rPr>
        <w:t xml:space="preserve">. </w:t>
      </w:r>
      <w:proofErr w:type="spellStart"/>
      <w:r w:rsidRPr="000576B0">
        <w:rPr>
          <w:rFonts w:ascii="David" w:hAnsi="David" w:cs="David"/>
          <w:sz w:val="24"/>
          <w:szCs w:val="24"/>
        </w:rPr>
        <w:t>Milachim</w:t>
      </w:r>
      <w:proofErr w:type="spellEnd"/>
      <w:r w:rsidRPr="000576B0">
        <w:rPr>
          <w:rFonts w:ascii="David" w:hAnsi="David" w:cs="David"/>
          <w:sz w:val="24"/>
          <w:szCs w:val="24"/>
        </w:rPr>
        <w:t xml:space="preserve"> 5, 1).</w:t>
      </w:r>
    </w:p>
    <w:p w14:paraId="5255C990" w14:textId="271C1BC7" w:rsidR="00B775ED" w:rsidRPr="000576B0" w:rsidRDefault="00B775ED" w:rsidP="00B775ED">
      <w:pPr>
        <w:bidi w:val="0"/>
        <w:rPr>
          <w:rFonts w:ascii="David" w:hAnsi="David" w:cs="David"/>
          <w:sz w:val="24"/>
          <w:szCs w:val="24"/>
          <w:rtl/>
        </w:rPr>
      </w:pPr>
      <w:r w:rsidRPr="000576B0">
        <w:rPr>
          <w:rFonts w:ascii="David" w:hAnsi="David" w:cs="David"/>
          <w:sz w:val="24"/>
          <w:szCs w:val="24"/>
        </w:rPr>
        <w:t>Rav Kook (</w:t>
      </w:r>
      <w:proofErr w:type="spellStart"/>
      <w:r w:rsidRPr="000576B0">
        <w:rPr>
          <w:rFonts w:ascii="David" w:hAnsi="David" w:cs="David"/>
          <w:sz w:val="24"/>
          <w:szCs w:val="24"/>
        </w:rPr>
        <w:t>Ma'amarei</w:t>
      </w:r>
      <w:proofErr w:type="spellEnd"/>
      <w:r w:rsidRPr="000576B0">
        <w:rPr>
          <w:rFonts w:ascii="David" w:hAnsi="David" w:cs="David"/>
          <w:sz w:val="24"/>
          <w:szCs w:val="24"/>
        </w:rPr>
        <w:t xml:space="preserve"> </w:t>
      </w:r>
      <w:proofErr w:type="spellStart"/>
      <w:r w:rsidRPr="000576B0">
        <w:rPr>
          <w:rFonts w:ascii="David" w:hAnsi="David" w:cs="David"/>
          <w:sz w:val="24"/>
          <w:szCs w:val="24"/>
        </w:rPr>
        <w:t>HaReiya</w:t>
      </w:r>
      <w:proofErr w:type="spellEnd"/>
      <w:r w:rsidRPr="000576B0">
        <w:rPr>
          <w:rFonts w:ascii="David" w:hAnsi="David" w:cs="David"/>
          <w:sz w:val="24"/>
          <w:szCs w:val="24"/>
        </w:rPr>
        <w:t xml:space="preserve">, p. 235) points out that Yom Kippur, when we pretend </w:t>
      </w:r>
      <w:r w:rsidR="00F777B7">
        <w:rPr>
          <w:rFonts w:ascii="David" w:hAnsi="David" w:cs="David"/>
          <w:sz w:val="24"/>
          <w:szCs w:val="24"/>
        </w:rPr>
        <w:t>to</w:t>
      </w:r>
      <w:r w:rsidRPr="000576B0">
        <w:rPr>
          <w:rFonts w:ascii="David" w:hAnsi="David" w:cs="David"/>
          <w:sz w:val="24"/>
          <w:szCs w:val="24"/>
        </w:rPr>
        <w:t xml:space="preserve"> act like angels and distance ourselves from physical pleasure, is extreme "shock treatment" for the spiritually sick, who temporarily need bitter medicine in order to return to health. But the final mitzvah of Yom Kippur is to go out and build a sukkah, return to living a </w:t>
      </w:r>
      <w:r w:rsidR="009138C6">
        <w:rPr>
          <w:rFonts w:ascii="David" w:hAnsi="David" w:cs="David"/>
          <w:sz w:val="24"/>
          <w:szCs w:val="24"/>
        </w:rPr>
        <w:t xml:space="preserve">daily </w:t>
      </w:r>
      <w:r w:rsidRPr="000576B0">
        <w:rPr>
          <w:rFonts w:ascii="David" w:hAnsi="David" w:cs="David"/>
          <w:sz w:val="24"/>
          <w:szCs w:val="24"/>
        </w:rPr>
        <w:t xml:space="preserve">life of kedusha. Similarly, the </w:t>
      </w:r>
      <w:proofErr w:type="spellStart"/>
      <w:r w:rsidRPr="000576B0">
        <w:rPr>
          <w:rFonts w:ascii="David" w:hAnsi="David" w:cs="David"/>
          <w:sz w:val="24"/>
          <w:szCs w:val="24"/>
        </w:rPr>
        <w:t>Mesilat</w:t>
      </w:r>
      <w:proofErr w:type="spellEnd"/>
      <w:r w:rsidRPr="000576B0">
        <w:rPr>
          <w:rFonts w:ascii="David" w:hAnsi="David" w:cs="David"/>
          <w:sz w:val="24"/>
          <w:szCs w:val="24"/>
        </w:rPr>
        <w:t xml:space="preserve"> </w:t>
      </w:r>
      <w:proofErr w:type="spellStart"/>
      <w:r w:rsidRPr="000576B0">
        <w:rPr>
          <w:rFonts w:ascii="David" w:hAnsi="David" w:cs="David"/>
          <w:sz w:val="24"/>
          <w:szCs w:val="24"/>
        </w:rPr>
        <w:t>Yesharim</w:t>
      </w:r>
      <w:proofErr w:type="spellEnd"/>
      <w:r w:rsidRPr="000576B0">
        <w:rPr>
          <w:rFonts w:ascii="David" w:hAnsi="David" w:cs="David"/>
          <w:sz w:val="24"/>
          <w:szCs w:val="24"/>
        </w:rPr>
        <w:t xml:space="preserve"> (ch. 26) explains that </w:t>
      </w:r>
      <w:proofErr w:type="spellStart"/>
      <w:r w:rsidRPr="000576B0">
        <w:rPr>
          <w:rFonts w:ascii="David" w:hAnsi="David" w:cs="David"/>
          <w:sz w:val="24"/>
          <w:szCs w:val="24"/>
        </w:rPr>
        <w:t>Tahara</w:t>
      </w:r>
      <w:proofErr w:type="spellEnd"/>
      <w:r w:rsidRPr="000576B0">
        <w:rPr>
          <w:rFonts w:ascii="David" w:hAnsi="David" w:cs="David"/>
          <w:sz w:val="24"/>
          <w:szCs w:val="24"/>
        </w:rPr>
        <w:t xml:space="preserve"> (refraining from physical pleasure to the bare minimum), is a lower level than Kedusha (revealing Godliness in the physical world). Accordingly, Rav Kook explains why we have over 50 </w:t>
      </w:r>
      <w:proofErr w:type="spellStart"/>
      <w:r w:rsidRPr="000576B0">
        <w:rPr>
          <w:rFonts w:ascii="David" w:hAnsi="David" w:cs="David"/>
          <w:sz w:val="24"/>
          <w:szCs w:val="24"/>
        </w:rPr>
        <w:t>Shabbatot</w:t>
      </w:r>
      <w:proofErr w:type="spellEnd"/>
      <w:r w:rsidRPr="000576B0">
        <w:rPr>
          <w:rFonts w:ascii="David" w:hAnsi="David" w:cs="David"/>
          <w:sz w:val="24"/>
          <w:szCs w:val="24"/>
        </w:rPr>
        <w:t xml:space="preserve"> and many Yom </w:t>
      </w:r>
      <w:proofErr w:type="spellStart"/>
      <w:r w:rsidRPr="000576B0">
        <w:rPr>
          <w:rFonts w:ascii="David" w:hAnsi="David" w:cs="David"/>
          <w:sz w:val="24"/>
          <w:szCs w:val="24"/>
        </w:rPr>
        <w:t>Tovs</w:t>
      </w:r>
      <w:proofErr w:type="spellEnd"/>
      <w:r w:rsidRPr="000576B0">
        <w:rPr>
          <w:rFonts w:ascii="David" w:hAnsi="David" w:cs="David"/>
          <w:sz w:val="24"/>
          <w:szCs w:val="24"/>
        </w:rPr>
        <w:t xml:space="preserve"> over the year, and only one Yom Kippur. This is the Living Torah of Eretz Yisrael which embodies Kedusha (ibid, p. 179), as opposed to the Torah of Chutz </w:t>
      </w:r>
      <w:proofErr w:type="spellStart"/>
      <w:r w:rsidRPr="000576B0">
        <w:rPr>
          <w:rFonts w:ascii="David" w:hAnsi="David" w:cs="David"/>
          <w:sz w:val="24"/>
          <w:szCs w:val="24"/>
        </w:rPr>
        <w:t>laAretz</w:t>
      </w:r>
      <w:proofErr w:type="spellEnd"/>
      <w:r w:rsidRPr="000576B0">
        <w:rPr>
          <w:rFonts w:ascii="David" w:hAnsi="David" w:cs="David"/>
          <w:sz w:val="24"/>
          <w:szCs w:val="24"/>
        </w:rPr>
        <w:t xml:space="preserve"> which makes do with </w:t>
      </w:r>
      <w:proofErr w:type="spellStart"/>
      <w:r w:rsidRPr="000576B0">
        <w:rPr>
          <w:rFonts w:ascii="David" w:hAnsi="David" w:cs="David"/>
          <w:sz w:val="24"/>
          <w:szCs w:val="24"/>
        </w:rPr>
        <w:t>Tahara</w:t>
      </w:r>
      <w:proofErr w:type="spellEnd"/>
      <w:r w:rsidR="00F777B7">
        <w:rPr>
          <w:rFonts w:ascii="David" w:hAnsi="David" w:cs="David"/>
          <w:sz w:val="24"/>
          <w:szCs w:val="24"/>
        </w:rPr>
        <w:t xml:space="preserve"> (as does Christianity)</w:t>
      </w:r>
      <w:r w:rsidRPr="000576B0">
        <w:rPr>
          <w:rFonts w:ascii="David" w:hAnsi="David" w:cs="David"/>
          <w:sz w:val="24"/>
          <w:szCs w:val="24"/>
        </w:rPr>
        <w:t>. Accordingly</w:t>
      </w:r>
      <w:r w:rsidR="00F777B7">
        <w:rPr>
          <w:rFonts w:ascii="David" w:hAnsi="David" w:cs="David"/>
          <w:sz w:val="24"/>
          <w:szCs w:val="24"/>
        </w:rPr>
        <w:t>,</w:t>
      </w:r>
      <w:r w:rsidRPr="000576B0">
        <w:rPr>
          <w:rFonts w:ascii="David" w:hAnsi="David" w:cs="David"/>
          <w:sz w:val="24"/>
          <w:szCs w:val="24"/>
        </w:rPr>
        <w:t xml:space="preserve"> we understand why the Talmud Yerushalmi written in Eretz Yisrael, considers the "preparation" for a mitzvah (like writing a mezuza, building a sukkah or tying tzitzit) as an additional mitzvah (even deserving its own </w:t>
      </w:r>
      <w:proofErr w:type="spellStart"/>
      <w:r w:rsidRPr="000576B0">
        <w:rPr>
          <w:rFonts w:ascii="David" w:hAnsi="David" w:cs="David"/>
          <w:sz w:val="24"/>
          <w:szCs w:val="24"/>
        </w:rPr>
        <w:t>bracha</w:t>
      </w:r>
      <w:proofErr w:type="spellEnd"/>
      <w:r w:rsidRPr="000576B0">
        <w:rPr>
          <w:rFonts w:ascii="David" w:hAnsi="David" w:cs="David"/>
          <w:sz w:val="24"/>
          <w:szCs w:val="24"/>
        </w:rPr>
        <w:t>: e.g. "</w:t>
      </w:r>
      <w:r w:rsidRPr="000576B0">
        <w:rPr>
          <w:rFonts w:ascii="David" w:hAnsi="David" w:cs="David"/>
          <w:sz w:val="24"/>
          <w:szCs w:val="24"/>
          <w:rtl/>
        </w:rPr>
        <w:t>לעשות סוכה</w:t>
      </w:r>
      <w:r w:rsidRPr="000576B0">
        <w:rPr>
          <w:rFonts w:ascii="David" w:hAnsi="David" w:cs="David"/>
          <w:sz w:val="24"/>
          <w:szCs w:val="24"/>
        </w:rPr>
        <w:t xml:space="preserve">"), as opposed to the Talmud </w:t>
      </w:r>
      <w:proofErr w:type="spellStart"/>
      <w:r w:rsidRPr="000576B0">
        <w:rPr>
          <w:rFonts w:ascii="David" w:hAnsi="David" w:cs="David"/>
          <w:sz w:val="24"/>
          <w:szCs w:val="24"/>
        </w:rPr>
        <w:t>Bavli</w:t>
      </w:r>
      <w:proofErr w:type="spellEnd"/>
      <w:r w:rsidRPr="000576B0">
        <w:rPr>
          <w:rFonts w:ascii="David" w:hAnsi="David" w:cs="David"/>
          <w:sz w:val="24"/>
          <w:szCs w:val="24"/>
        </w:rPr>
        <w:t xml:space="preserve"> (</w:t>
      </w:r>
      <w:proofErr w:type="spellStart"/>
      <w:r w:rsidRPr="000576B0">
        <w:rPr>
          <w:rFonts w:ascii="David" w:hAnsi="David" w:cs="David"/>
          <w:sz w:val="24"/>
          <w:szCs w:val="24"/>
        </w:rPr>
        <w:t>Tosafot</w:t>
      </w:r>
      <w:proofErr w:type="spellEnd"/>
      <w:r w:rsidRPr="000576B0">
        <w:rPr>
          <w:rFonts w:ascii="David" w:hAnsi="David" w:cs="David"/>
          <w:sz w:val="24"/>
          <w:szCs w:val="24"/>
        </w:rPr>
        <w:t xml:space="preserve">, </w:t>
      </w:r>
      <w:proofErr w:type="spellStart"/>
      <w:r w:rsidRPr="000576B0">
        <w:rPr>
          <w:rFonts w:ascii="David" w:hAnsi="David" w:cs="David"/>
          <w:sz w:val="24"/>
          <w:szCs w:val="24"/>
        </w:rPr>
        <w:t>M'nachot</w:t>
      </w:r>
      <w:proofErr w:type="spellEnd"/>
      <w:r w:rsidRPr="000576B0">
        <w:rPr>
          <w:rFonts w:ascii="David" w:hAnsi="David" w:cs="David"/>
          <w:sz w:val="24"/>
          <w:szCs w:val="24"/>
        </w:rPr>
        <w:t xml:space="preserve"> 42b) written in Chutz </w:t>
      </w:r>
      <w:proofErr w:type="spellStart"/>
      <w:r w:rsidRPr="000576B0">
        <w:rPr>
          <w:rFonts w:ascii="David" w:hAnsi="David" w:cs="David"/>
          <w:sz w:val="24"/>
          <w:szCs w:val="24"/>
        </w:rPr>
        <w:t>laAretz</w:t>
      </w:r>
      <w:proofErr w:type="spellEnd"/>
      <w:r w:rsidRPr="000576B0">
        <w:rPr>
          <w:rFonts w:ascii="David" w:hAnsi="David" w:cs="David"/>
          <w:sz w:val="24"/>
          <w:szCs w:val="24"/>
        </w:rPr>
        <w:t>, which does not consider the preparation a mitzvah.</w:t>
      </w:r>
    </w:p>
    <w:p w14:paraId="40228AC1" w14:textId="3BDEC3FF" w:rsidR="00B775ED" w:rsidRPr="000576B0" w:rsidRDefault="00B775ED" w:rsidP="00B775ED">
      <w:pPr>
        <w:bidi w:val="0"/>
        <w:rPr>
          <w:rFonts w:ascii="David" w:hAnsi="David" w:cs="David"/>
          <w:sz w:val="24"/>
          <w:szCs w:val="24"/>
        </w:rPr>
      </w:pPr>
      <w:r w:rsidRPr="000576B0">
        <w:rPr>
          <w:rFonts w:ascii="David" w:hAnsi="David" w:cs="David"/>
          <w:sz w:val="24"/>
          <w:szCs w:val="24"/>
        </w:rPr>
        <w:t xml:space="preserve">Rav Kook similarly explains why the Simchat Beit </w:t>
      </w:r>
      <w:proofErr w:type="spellStart"/>
      <w:r w:rsidRPr="000576B0">
        <w:rPr>
          <w:rFonts w:ascii="David" w:hAnsi="David" w:cs="David"/>
          <w:sz w:val="24"/>
          <w:szCs w:val="24"/>
        </w:rPr>
        <w:t>HaSho'eva</w:t>
      </w:r>
      <w:proofErr w:type="spellEnd"/>
      <w:r w:rsidRPr="000576B0">
        <w:rPr>
          <w:rFonts w:ascii="David" w:hAnsi="David" w:cs="David"/>
          <w:sz w:val="24"/>
          <w:szCs w:val="24"/>
        </w:rPr>
        <w:t xml:space="preserve"> (literally: "the party of the water-drawing")</w:t>
      </w:r>
      <w:r w:rsidR="00F777B7">
        <w:rPr>
          <w:rFonts w:ascii="David" w:hAnsi="David" w:cs="David"/>
          <w:sz w:val="24"/>
          <w:szCs w:val="24"/>
        </w:rPr>
        <w:t xml:space="preserve"> on Sukkot</w:t>
      </w:r>
      <w:r w:rsidRPr="000576B0">
        <w:rPr>
          <w:rFonts w:ascii="David" w:hAnsi="David" w:cs="David"/>
          <w:sz w:val="24"/>
          <w:szCs w:val="24"/>
        </w:rPr>
        <w:t xml:space="preserve"> is not called "Simchat </w:t>
      </w:r>
      <w:proofErr w:type="spellStart"/>
      <w:r w:rsidRPr="000576B0">
        <w:rPr>
          <w:rFonts w:ascii="David" w:hAnsi="David" w:cs="David"/>
          <w:sz w:val="24"/>
          <w:szCs w:val="24"/>
        </w:rPr>
        <w:t>Nisuch</w:t>
      </w:r>
      <w:proofErr w:type="spellEnd"/>
      <w:r w:rsidRPr="000576B0">
        <w:rPr>
          <w:rFonts w:ascii="David" w:hAnsi="David" w:cs="David"/>
          <w:sz w:val="24"/>
          <w:szCs w:val="24"/>
        </w:rPr>
        <w:t xml:space="preserve"> </w:t>
      </w:r>
      <w:proofErr w:type="spellStart"/>
      <w:r w:rsidRPr="000576B0">
        <w:rPr>
          <w:rFonts w:ascii="David" w:hAnsi="David" w:cs="David"/>
          <w:sz w:val="24"/>
          <w:szCs w:val="24"/>
        </w:rPr>
        <w:t>HaMayim</w:t>
      </w:r>
      <w:proofErr w:type="spellEnd"/>
      <w:r w:rsidRPr="000576B0">
        <w:rPr>
          <w:rFonts w:ascii="David" w:hAnsi="David" w:cs="David"/>
          <w:sz w:val="24"/>
          <w:szCs w:val="24"/>
        </w:rPr>
        <w:t xml:space="preserve">" (the party of the pouring of the water), even though the mitzva was to pour the water on the alter on Sukkot, and the "drawing" of the water was just a "PREPARATION". Similarly, the Torah mentions the preparation of building a </w:t>
      </w:r>
      <w:proofErr w:type="spellStart"/>
      <w:r w:rsidRPr="000576B0">
        <w:rPr>
          <w:rFonts w:ascii="David" w:hAnsi="David" w:cs="David"/>
          <w:sz w:val="24"/>
          <w:szCs w:val="24"/>
        </w:rPr>
        <w:t>sukka</w:t>
      </w:r>
      <w:proofErr w:type="spellEnd"/>
      <w:r w:rsidRPr="000576B0">
        <w:rPr>
          <w:rFonts w:ascii="David" w:hAnsi="David" w:cs="David"/>
          <w:sz w:val="24"/>
          <w:szCs w:val="24"/>
        </w:rPr>
        <w:t xml:space="preserve"> ("</w:t>
      </w:r>
      <w:r w:rsidRPr="000576B0">
        <w:rPr>
          <w:rFonts w:ascii="David" w:hAnsi="David" w:cs="David"/>
          <w:sz w:val="24"/>
          <w:szCs w:val="24"/>
          <w:rtl/>
        </w:rPr>
        <w:t>תעשה</w:t>
      </w:r>
      <w:r w:rsidRPr="000576B0">
        <w:rPr>
          <w:rFonts w:ascii="David" w:hAnsi="David" w:cs="David"/>
          <w:sz w:val="24"/>
          <w:szCs w:val="24"/>
        </w:rPr>
        <w:t>") and acquiring the 4 species (""</w:t>
      </w:r>
      <w:r w:rsidRPr="000576B0">
        <w:rPr>
          <w:rFonts w:ascii="David" w:hAnsi="David" w:cs="David"/>
          <w:sz w:val="24"/>
          <w:szCs w:val="24"/>
          <w:rtl/>
        </w:rPr>
        <w:t>ולקחתם</w:t>
      </w:r>
      <w:r w:rsidRPr="000576B0">
        <w:rPr>
          <w:rFonts w:ascii="David" w:hAnsi="David" w:cs="David"/>
          <w:sz w:val="24"/>
          <w:szCs w:val="24"/>
        </w:rPr>
        <w:t>)</w:t>
      </w:r>
      <w:r w:rsidR="00043B7F">
        <w:rPr>
          <w:rFonts w:ascii="David" w:hAnsi="David" w:cs="David"/>
          <w:sz w:val="24"/>
          <w:szCs w:val="24"/>
        </w:rPr>
        <w:t xml:space="preserve"> even though they aren't "officially" part of the mitzva</w:t>
      </w:r>
      <w:r w:rsidRPr="000576B0">
        <w:rPr>
          <w:rFonts w:ascii="David" w:hAnsi="David" w:cs="David"/>
          <w:sz w:val="24"/>
          <w:szCs w:val="24"/>
        </w:rPr>
        <w:t xml:space="preserve">, where in contrast, it doesn't say "you shall </w:t>
      </w:r>
      <w:r w:rsidR="00043B7F">
        <w:rPr>
          <w:rFonts w:ascii="David" w:hAnsi="David" w:cs="David"/>
          <w:sz w:val="24"/>
          <w:szCs w:val="24"/>
        </w:rPr>
        <w:t>BAKE</w:t>
      </w:r>
      <w:r w:rsidRPr="000576B0">
        <w:rPr>
          <w:rFonts w:ascii="David" w:hAnsi="David" w:cs="David"/>
          <w:sz w:val="24"/>
          <w:szCs w:val="24"/>
        </w:rPr>
        <w:t xml:space="preserve"> </w:t>
      </w:r>
      <w:proofErr w:type="spellStart"/>
      <w:r w:rsidRPr="000576B0">
        <w:rPr>
          <w:rFonts w:ascii="David" w:hAnsi="David" w:cs="David"/>
          <w:sz w:val="24"/>
          <w:szCs w:val="24"/>
        </w:rPr>
        <w:t>matzot</w:t>
      </w:r>
      <w:proofErr w:type="spellEnd"/>
      <w:r w:rsidRPr="000576B0">
        <w:rPr>
          <w:rFonts w:ascii="David" w:hAnsi="David" w:cs="David"/>
          <w:sz w:val="24"/>
          <w:szCs w:val="24"/>
        </w:rPr>
        <w:t>".</w:t>
      </w:r>
      <w:r w:rsidR="00043B7F">
        <w:rPr>
          <w:rFonts w:ascii="David" w:hAnsi="David" w:cs="David"/>
          <w:sz w:val="24"/>
          <w:szCs w:val="24"/>
        </w:rPr>
        <w:t xml:space="preserve"> These 2 mitzvot are also unique that the preparation involves much effort</w:t>
      </w:r>
      <w:r w:rsidR="009138C6">
        <w:rPr>
          <w:rFonts w:ascii="David" w:hAnsi="David" w:cs="David"/>
          <w:sz w:val="24"/>
          <w:szCs w:val="24"/>
        </w:rPr>
        <w:t>, time</w:t>
      </w:r>
      <w:r w:rsidR="00043B7F">
        <w:rPr>
          <w:rFonts w:ascii="David" w:hAnsi="David" w:cs="David"/>
          <w:sz w:val="24"/>
          <w:szCs w:val="24"/>
        </w:rPr>
        <w:t xml:space="preserve"> and money, but the mitzva itself is short and simple (just enter the </w:t>
      </w:r>
      <w:proofErr w:type="spellStart"/>
      <w:r w:rsidR="00043B7F">
        <w:rPr>
          <w:rFonts w:ascii="David" w:hAnsi="David" w:cs="David"/>
          <w:sz w:val="24"/>
          <w:szCs w:val="24"/>
        </w:rPr>
        <w:t>sukka</w:t>
      </w:r>
      <w:proofErr w:type="spellEnd"/>
      <w:r w:rsidR="00043B7F">
        <w:rPr>
          <w:rFonts w:ascii="David" w:hAnsi="David" w:cs="David"/>
          <w:sz w:val="24"/>
          <w:szCs w:val="24"/>
        </w:rPr>
        <w:t xml:space="preserve"> or pick up the species). Similarly</w:t>
      </w:r>
      <w:r w:rsidR="009138C6">
        <w:rPr>
          <w:rFonts w:ascii="David" w:hAnsi="David" w:cs="David"/>
          <w:sz w:val="24"/>
          <w:szCs w:val="24"/>
        </w:rPr>
        <w:t>,</w:t>
      </w:r>
      <w:r w:rsidR="00043B7F">
        <w:rPr>
          <w:rFonts w:ascii="David" w:hAnsi="David" w:cs="David"/>
          <w:sz w:val="24"/>
          <w:szCs w:val="24"/>
        </w:rPr>
        <w:t xml:space="preserve"> these 2 mitzvot are the FIRST 2 of 5 examples listed in the Talmud (Shabbat 133b) of HIDDUR mitzva (from the root: HADAR, the name for the etrog, Vayikra 23, 40!), as THE prime samples of doing mitzvot physically beautiful</w:t>
      </w:r>
      <w:r w:rsidR="009138C6">
        <w:rPr>
          <w:rFonts w:ascii="David" w:hAnsi="David" w:cs="David"/>
          <w:sz w:val="24"/>
          <w:szCs w:val="24"/>
        </w:rPr>
        <w:t xml:space="preserve"> (details of </w:t>
      </w:r>
      <w:proofErr w:type="spellStart"/>
      <w:r w:rsidR="009138C6">
        <w:rPr>
          <w:rFonts w:ascii="David" w:hAnsi="David" w:cs="David"/>
          <w:sz w:val="24"/>
          <w:szCs w:val="24"/>
        </w:rPr>
        <w:t>Hiddur</w:t>
      </w:r>
      <w:proofErr w:type="spellEnd"/>
      <w:r w:rsidR="009138C6">
        <w:rPr>
          <w:rFonts w:ascii="David" w:hAnsi="David" w:cs="David"/>
          <w:sz w:val="24"/>
          <w:szCs w:val="24"/>
        </w:rPr>
        <w:t xml:space="preserve"> ALL</w:t>
      </w:r>
      <w:r w:rsidR="00F777B7">
        <w:rPr>
          <w:rFonts w:ascii="David" w:hAnsi="David" w:cs="David"/>
          <w:sz w:val="24"/>
          <w:szCs w:val="24"/>
        </w:rPr>
        <w:t xml:space="preserve"> (!)</w:t>
      </w:r>
      <w:r w:rsidR="009138C6">
        <w:rPr>
          <w:rFonts w:ascii="David" w:hAnsi="David" w:cs="David"/>
          <w:sz w:val="24"/>
          <w:szCs w:val="24"/>
        </w:rPr>
        <w:t xml:space="preserve"> mitzvot are found in </w:t>
      </w:r>
      <w:proofErr w:type="spellStart"/>
      <w:r w:rsidR="009138C6">
        <w:rPr>
          <w:rFonts w:ascii="David" w:hAnsi="David" w:cs="David"/>
          <w:sz w:val="24"/>
          <w:szCs w:val="24"/>
        </w:rPr>
        <w:t>hil</w:t>
      </w:r>
      <w:proofErr w:type="spellEnd"/>
      <w:r w:rsidR="009138C6">
        <w:rPr>
          <w:rFonts w:ascii="David" w:hAnsi="David" w:cs="David"/>
          <w:sz w:val="24"/>
          <w:szCs w:val="24"/>
        </w:rPr>
        <w:t xml:space="preserve">. Etrog, Or.Ch. </w:t>
      </w:r>
      <w:r w:rsidR="0003458D">
        <w:rPr>
          <w:rFonts w:ascii="David" w:hAnsi="David" w:cs="David" w:hint="cs"/>
          <w:sz w:val="24"/>
          <w:szCs w:val="24"/>
          <w:rtl/>
        </w:rPr>
        <w:t>656</w:t>
      </w:r>
      <w:r w:rsidR="009138C6">
        <w:rPr>
          <w:rFonts w:ascii="David" w:hAnsi="David" w:cs="David"/>
          <w:sz w:val="24"/>
          <w:szCs w:val="24"/>
        </w:rPr>
        <w:t>)</w:t>
      </w:r>
      <w:r w:rsidR="00043B7F">
        <w:rPr>
          <w:rFonts w:ascii="David" w:hAnsi="David" w:cs="David"/>
          <w:sz w:val="24"/>
          <w:szCs w:val="24"/>
        </w:rPr>
        <w:t>. Even today, there are no other mitzvot where we invest so much DECORATION, and examination for no BLEMISHES, despite that usually physical beauty is just means/</w:t>
      </w:r>
      <w:r w:rsidR="00CA217A">
        <w:rPr>
          <w:rFonts w:ascii="David" w:hAnsi="David" w:cs="David"/>
          <w:sz w:val="24"/>
          <w:szCs w:val="24"/>
        </w:rPr>
        <w:t>"</w:t>
      </w:r>
      <w:r w:rsidR="00043B7F">
        <w:rPr>
          <w:rFonts w:ascii="David" w:hAnsi="David" w:cs="David"/>
          <w:sz w:val="24"/>
          <w:szCs w:val="24"/>
        </w:rPr>
        <w:t>tree</w:t>
      </w:r>
      <w:r w:rsidR="00CA217A">
        <w:rPr>
          <w:rFonts w:ascii="David" w:hAnsi="David" w:cs="David"/>
          <w:sz w:val="24"/>
          <w:szCs w:val="24"/>
        </w:rPr>
        <w:t>"/preparation</w:t>
      </w:r>
      <w:r w:rsidR="00043B7F">
        <w:rPr>
          <w:rFonts w:ascii="David" w:hAnsi="David" w:cs="David"/>
          <w:sz w:val="24"/>
          <w:szCs w:val="24"/>
        </w:rPr>
        <w:t xml:space="preserve"> and not a goal/"fruit"</w:t>
      </w:r>
      <w:r w:rsidR="0003458D">
        <w:rPr>
          <w:rFonts w:ascii="David" w:hAnsi="David" w:cs="David"/>
          <w:sz w:val="24"/>
          <w:szCs w:val="24"/>
        </w:rPr>
        <w:t>!</w:t>
      </w:r>
    </w:p>
    <w:p w14:paraId="0831E81B" w14:textId="43B629D0" w:rsidR="00B775ED" w:rsidRPr="000576B0" w:rsidRDefault="00B775ED" w:rsidP="00B775ED">
      <w:pPr>
        <w:bidi w:val="0"/>
        <w:rPr>
          <w:rFonts w:ascii="David" w:hAnsi="David" w:cs="David"/>
          <w:sz w:val="24"/>
          <w:szCs w:val="24"/>
        </w:rPr>
      </w:pPr>
      <w:r w:rsidRPr="000576B0">
        <w:rPr>
          <w:rFonts w:ascii="David" w:hAnsi="David" w:cs="David"/>
          <w:sz w:val="24"/>
          <w:szCs w:val="24"/>
        </w:rPr>
        <w:lastRenderedPageBreak/>
        <w:t xml:space="preserve">For this holiday teaches that the preparations/tree </w:t>
      </w:r>
      <w:r w:rsidR="00F777B7">
        <w:rPr>
          <w:rFonts w:ascii="David" w:hAnsi="David" w:cs="David"/>
          <w:sz w:val="24"/>
          <w:szCs w:val="24"/>
        </w:rPr>
        <w:t xml:space="preserve">in life </w:t>
      </w:r>
      <w:r w:rsidRPr="000576B0">
        <w:rPr>
          <w:rFonts w:ascii="David" w:hAnsi="David" w:cs="David"/>
          <w:sz w:val="24"/>
          <w:szCs w:val="24"/>
        </w:rPr>
        <w:t xml:space="preserve">are also important, not just the fruit/goal. This is all </w:t>
      </w:r>
      <w:r w:rsidR="00F777B7">
        <w:rPr>
          <w:rFonts w:ascii="David" w:hAnsi="David" w:cs="David"/>
          <w:sz w:val="24"/>
          <w:szCs w:val="24"/>
        </w:rPr>
        <w:t>be</w:t>
      </w:r>
      <w:r w:rsidRPr="000576B0">
        <w:rPr>
          <w:rFonts w:ascii="David" w:hAnsi="David" w:cs="David"/>
          <w:sz w:val="24"/>
          <w:szCs w:val="24"/>
        </w:rPr>
        <w:t xml:space="preserve">fitting for Chag </w:t>
      </w:r>
      <w:proofErr w:type="spellStart"/>
      <w:r w:rsidRPr="000576B0">
        <w:rPr>
          <w:rFonts w:ascii="David" w:hAnsi="David" w:cs="David"/>
          <w:sz w:val="24"/>
          <w:szCs w:val="24"/>
        </w:rPr>
        <w:t>HaAsif</w:t>
      </w:r>
      <w:proofErr w:type="spellEnd"/>
      <w:r w:rsidRPr="000576B0">
        <w:rPr>
          <w:rFonts w:ascii="David" w:hAnsi="David" w:cs="David"/>
          <w:sz w:val="24"/>
          <w:szCs w:val="24"/>
        </w:rPr>
        <w:t xml:space="preserve">, where we worked an entire agricultural year, plowing, planting, irrigating, fertilizing, pruning etc. in </w:t>
      </w:r>
      <w:r w:rsidR="00CA217A">
        <w:rPr>
          <w:rFonts w:ascii="David" w:hAnsi="David" w:cs="David"/>
          <w:sz w:val="24"/>
          <w:szCs w:val="24"/>
        </w:rPr>
        <w:t>PREPARATION</w:t>
      </w:r>
      <w:r w:rsidRPr="000576B0">
        <w:rPr>
          <w:rFonts w:ascii="David" w:hAnsi="David" w:cs="David"/>
          <w:sz w:val="24"/>
          <w:szCs w:val="24"/>
        </w:rPr>
        <w:t xml:space="preserve"> for gathering the fruit, the produce. Sukkot teaches us that even if </w:t>
      </w:r>
      <w:proofErr w:type="spellStart"/>
      <w:r w:rsidRPr="000576B0">
        <w:rPr>
          <w:rFonts w:ascii="David" w:hAnsi="David" w:cs="David"/>
          <w:sz w:val="24"/>
          <w:szCs w:val="24"/>
        </w:rPr>
        <w:t>chalila</w:t>
      </w:r>
      <w:proofErr w:type="spellEnd"/>
      <w:r w:rsidRPr="000576B0">
        <w:rPr>
          <w:rFonts w:ascii="David" w:hAnsi="David" w:cs="David"/>
          <w:sz w:val="24"/>
          <w:szCs w:val="24"/>
        </w:rPr>
        <w:t xml:space="preserve"> there was a drought and not that much fruit, we did not waste a year, for in Eretz Yisrael, there is "taste/meaning</w:t>
      </w:r>
      <w:r w:rsidR="00CA217A">
        <w:rPr>
          <w:rFonts w:ascii="David" w:hAnsi="David" w:cs="David"/>
          <w:sz w:val="24"/>
          <w:szCs w:val="24"/>
        </w:rPr>
        <w:t>/ideal</w:t>
      </w:r>
      <w:r w:rsidRPr="000576B0">
        <w:rPr>
          <w:rFonts w:ascii="David" w:hAnsi="David" w:cs="David"/>
          <w:sz w:val="24"/>
          <w:szCs w:val="24"/>
        </w:rPr>
        <w:t xml:space="preserve"> in the tree (e.g. the work), just as in the fruit!" </w:t>
      </w:r>
      <w:r w:rsidR="00CA217A">
        <w:rPr>
          <w:rFonts w:ascii="David" w:hAnsi="David" w:cs="David"/>
          <w:sz w:val="24"/>
          <w:szCs w:val="24"/>
        </w:rPr>
        <w:t xml:space="preserve">This is a throw-back and "throw forward" to the ideal world. </w:t>
      </w:r>
      <w:r w:rsidRPr="000576B0">
        <w:rPr>
          <w:rFonts w:ascii="David" w:hAnsi="David" w:cs="David"/>
          <w:sz w:val="24"/>
          <w:szCs w:val="24"/>
        </w:rPr>
        <w:t>Accordingly, the Abravanel (</w:t>
      </w:r>
      <w:proofErr w:type="spellStart"/>
      <w:r w:rsidRPr="000576B0">
        <w:rPr>
          <w:rFonts w:ascii="David" w:hAnsi="David" w:cs="David"/>
          <w:sz w:val="24"/>
          <w:szCs w:val="24"/>
        </w:rPr>
        <w:t>Dvarim</w:t>
      </w:r>
      <w:proofErr w:type="spellEnd"/>
      <w:r w:rsidRPr="000576B0">
        <w:rPr>
          <w:rFonts w:ascii="David" w:hAnsi="David" w:cs="David"/>
          <w:sz w:val="24"/>
          <w:szCs w:val="24"/>
        </w:rPr>
        <w:t xml:space="preserve"> 16) says that just as Pesach celebrates Am Yisrael, and </w:t>
      </w:r>
      <w:proofErr w:type="spellStart"/>
      <w:r w:rsidRPr="000576B0">
        <w:rPr>
          <w:rFonts w:ascii="David" w:hAnsi="David" w:cs="David"/>
          <w:sz w:val="24"/>
          <w:szCs w:val="24"/>
        </w:rPr>
        <w:t>Shavu'ot</w:t>
      </w:r>
      <w:proofErr w:type="spellEnd"/>
      <w:r w:rsidRPr="000576B0">
        <w:rPr>
          <w:rFonts w:ascii="David" w:hAnsi="David" w:cs="David"/>
          <w:sz w:val="24"/>
          <w:szCs w:val="24"/>
        </w:rPr>
        <w:t xml:space="preserve">- </w:t>
      </w:r>
      <w:proofErr w:type="spellStart"/>
      <w:r w:rsidRPr="000576B0">
        <w:rPr>
          <w:rFonts w:ascii="David" w:hAnsi="David" w:cs="David"/>
          <w:sz w:val="24"/>
          <w:szCs w:val="24"/>
        </w:rPr>
        <w:t>Torat</w:t>
      </w:r>
      <w:proofErr w:type="spellEnd"/>
      <w:r w:rsidRPr="000576B0">
        <w:rPr>
          <w:rFonts w:ascii="David" w:hAnsi="David" w:cs="David"/>
          <w:sz w:val="24"/>
          <w:szCs w:val="24"/>
        </w:rPr>
        <w:t xml:space="preserve"> Yisrael, Sukkot represents a microcosm of Eretz Yisrael! Chag </w:t>
      </w:r>
      <w:proofErr w:type="spellStart"/>
      <w:r w:rsidRPr="000576B0">
        <w:rPr>
          <w:rFonts w:ascii="David" w:hAnsi="David" w:cs="David"/>
          <w:sz w:val="24"/>
          <w:szCs w:val="24"/>
        </w:rPr>
        <w:t>Same'ach</w:t>
      </w:r>
      <w:proofErr w:type="spellEnd"/>
      <w:r w:rsidRPr="000576B0">
        <w:rPr>
          <w:rFonts w:ascii="David" w:hAnsi="David" w:cs="David"/>
          <w:sz w:val="24"/>
          <w:szCs w:val="24"/>
        </w:rPr>
        <w:t xml:space="preserve"> and we should hear </w:t>
      </w:r>
      <w:proofErr w:type="spellStart"/>
      <w:r w:rsidRPr="000576B0">
        <w:rPr>
          <w:rFonts w:ascii="David" w:hAnsi="David" w:cs="David"/>
          <w:sz w:val="24"/>
          <w:szCs w:val="24"/>
        </w:rPr>
        <w:t>Besorot</w:t>
      </w:r>
      <w:proofErr w:type="spellEnd"/>
      <w:r w:rsidRPr="000576B0">
        <w:rPr>
          <w:rFonts w:ascii="David" w:hAnsi="David" w:cs="David"/>
          <w:sz w:val="24"/>
          <w:szCs w:val="24"/>
        </w:rPr>
        <w:t xml:space="preserve"> Tovot from all Yisrael!! </w:t>
      </w:r>
      <w:r w:rsidR="00F777B7" w:rsidRPr="005B264B">
        <w:rPr>
          <w:rFonts w:ascii="David" w:hAnsi="David" w:cs="David"/>
          <w:i/>
          <w:iCs/>
          <w:sz w:val="24"/>
          <w:szCs w:val="24"/>
        </w:rPr>
        <w:t>(</w:t>
      </w:r>
      <w:proofErr w:type="spellStart"/>
      <w:r w:rsidR="00F777B7" w:rsidRPr="005B264B">
        <w:rPr>
          <w:rFonts w:ascii="David" w:hAnsi="David" w:cs="David"/>
          <w:i/>
          <w:iCs/>
          <w:sz w:val="24"/>
          <w:szCs w:val="24"/>
        </w:rPr>
        <w:t>Refuah</w:t>
      </w:r>
      <w:proofErr w:type="spellEnd"/>
      <w:r w:rsidR="00F777B7" w:rsidRPr="005B264B">
        <w:rPr>
          <w:rFonts w:ascii="David" w:hAnsi="David" w:cs="David"/>
          <w:i/>
          <w:iCs/>
          <w:sz w:val="24"/>
          <w:szCs w:val="24"/>
        </w:rPr>
        <w:t xml:space="preserve"> </w:t>
      </w:r>
      <w:proofErr w:type="spellStart"/>
      <w:r w:rsidR="00F777B7" w:rsidRPr="005B264B">
        <w:rPr>
          <w:rFonts w:ascii="David" w:hAnsi="David" w:cs="David"/>
          <w:i/>
          <w:iCs/>
          <w:sz w:val="24"/>
          <w:szCs w:val="24"/>
        </w:rPr>
        <w:t>Shleima</w:t>
      </w:r>
      <w:proofErr w:type="spellEnd"/>
      <w:r w:rsidR="00F777B7" w:rsidRPr="005B264B">
        <w:rPr>
          <w:rFonts w:ascii="David" w:hAnsi="David" w:cs="David"/>
          <w:i/>
          <w:iCs/>
          <w:sz w:val="24"/>
          <w:szCs w:val="24"/>
        </w:rPr>
        <w:t xml:space="preserve"> to </w:t>
      </w:r>
      <w:r w:rsidR="005B264B" w:rsidRPr="005B264B">
        <w:rPr>
          <w:rFonts w:ascii="David" w:hAnsi="David" w:cs="David"/>
          <w:i/>
          <w:iCs/>
          <w:sz w:val="24"/>
          <w:szCs w:val="24"/>
        </w:rPr>
        <w:t>all</w:t>
      </w:r>
      <w:r w:rsidR="005B264B">
        <w:rPr>
          <w:rFonts w:ascii="David" w:hAnsi="David" w:cs="David"/>
          <w:i/>
          <w:iCs/>
          <w:sz w:val="24"/>
          <w:szCs w:val="24"/>
        </w:rPr>
        <w:t>,</w:t>
      </w:r>
      <w:r w:rsidR="005B264B" w:rsidRPr="005B264B">
        <w:rPr>
          <w:rFonts w:ascii="David" w:hAnsi="David" w:cs="David"/>
          <w:i/>
          <w:iCs/>
          <w:sz w:val="24"/>
          <w:szCs w:val="24"/>
        </w:rPr>
        <w:t xml:space="preserve"> including </w:t>
      </w:r>
      <w:r w:rsidR="00F777B7" w:rsidRPr="005B264B">
        <w:rPr>
          <w:rFonts w:ascii="David" w:hAnsi="David" w:cs="David"/>
          <w:i/>
          <w:iCs/>
          <w:sz w:val="24"/>
          <w:szCs w:val="24"/>
        </w:rPr>
        <w:t xml:space="preserve">Neria </w:t>
      </w:r>
      <w:r w:rsidR="00F27212">
        <w:rPr>
          <w:rFonts w:ascii="David" w:hAnsi="David" w:cs="David"/>
          <w:i/>
          <w:iCs/>
          <w:sz w:val="24"/>
          <w:szCs w:val="24"/>
        </w:rPr>
        <w:t xml:space="preserve">Dov </w:t>
      </w:r>
      <w:r w:rsidR="00F777B7" w:rsidRPr="005B264B">
        <w:rPr>
          <w:rFonts w:ascii="David" w:hAnsi="David" w:cs="David"/>
          <w:i/>
          <w:iCs/>
          <w:sz w:val="24"/>
          <w:szCs w:val="24"/>
        </w:rPr>
        <w:t xml:space="preserve">son of Yechiel and Chani (Weiss) Leiter </w:t>
      </w:r>
      <w:r w:rsidR="005B264B" w:rsidRPr="005B264B">
        <w:rPr>
          <w:rFonts w:ascii="David" w:hAnsi="David" w:cs="David"/>
          <w:i/>
          <w:iCs/>
          <w:sz w:val="24"/>
          <w:szCs w:val="24"/>
        </w:rPr>
        <w:t>seriously wounded yesterday by terrorists</w:t>
      </w:r>
      <w:r w:rsidR="00F777B7" w:rsidRPr="005B264B">
        <w:rPr>
          <w:rFonts w:ascii="David" w:hAnsi="David" w:cs="David"/>
          <w:i/>
          <w:iCs/>
          <w:sz w:val="24"/>
          <w:szCs w:val="24"/>
        </w:rPr>
        <w:t>)</w:t>
      </w:r>
      <w:r w:rsidR="00F27212">
        <w:rPr>
          <w:rFonts w:ascii="David" w:hAnsi="David" w:cs="David"/>
          <w:sz w:val="24"/>
          <w:szCs w:val="24"/>
        </w:rPr>
        <w:t>,</w:t>
      </w:r>
      <w:r w:rsidRPr="000576B0">
        <w:rPr>
          <w:rFonts w:ascii="David" w:hAnsi="David" w:cs="David"/>
          <w:sz w:val="24"/>
          <w:szCs w:val="24"/>
        </w:rPr>
        <w:t xml:space="preserve">  Rav Ari Shvat (</w:t>
      </w:r>
      <w:proofErr w:type="spellStart"/>
      <w:r w:rsidRPr="000576B0">
        <w:rPr>
          <w:rFonts w:ascii="David" w:hAnsi="David" w:cs="David"/>
          <w:sz w:val="24"/>
          <w:szCs w:val="24"/>
        </w:rPr>
        <w:t>Chwat</w:t>
      </w:r>
      <w:proofErr w:type="spellEnd"/>
      <w:r w:rsidRPr="000576B0">
        <w:rPr>
          <w:rFonts w:ascii="David" w:hAnsi="David" w:cs="David"/>
          <w:sz w:val="24"/>
          <w:szCs w:val="24"/>
        </w:rPr>
        <w:t>)</w:t>
      </w:r>
    </w:p>
    <w:p w14:paraId="6FFC2F19" w14:textId="77777777" w:rsidR="00B775ED" w:rsidRDefault="00B775ED" w:rsidP="00B775ED">
      <w:pPr>
        <w:bidi w:val="0"/>
        <w:rPr>
          <w:rFonts w:hint="cs"/>
        </w:rPr>
      </w:pPr>
    </w:p>
    <w:sectPr w:rsidR="00B775ED" w:rsidSect="00CE6A9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5ED"/>
    <w:rsid w:val="0003458D"/>
    <w:rsid w:val="00043B7F"/>
    <w:rsid w:val="00145D13"/>
    <w:rsid w:val="005B264B"/>
    <w:rsid w:val="009138C6"/>
    <w:rsid w:val="00B775ED"/>
    <w:rsid w:val="00CA217A"/>
    <w:rsid w:val="00CE6A97"/>
    <w:rsid w:val="00CF41A7"/>
    <w:rsid w:val="00F27212"/>
    <w:rsid w:val="00F777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BBBC5"/>
  <w15:chartTrackingRefBased/>
  <w15:docId w15:val="{7BF50883-6929-4441-B35F-FD8268C47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5ED"/>
    <w:pPr>
      <w:bidi/>
      <w:spacing w:line="259" w:lineRule="auto"/>
    </w:pPr>
    <w:rPr>
      <w:sz w:val="22"/>
      <w:szCs w:val="22"/>
    </w:rPr>
  </w:style>
  <w:style w:type="paragraph" w:styleId="1">
    <w:name w:val="heading 1"/>
    <w:basedOn w:val="a"/>
    <w:next w:val="a"/>
    <w:link w:val="10"/>
    <w:uiPriority w:val="9"/>
    <w:qFormat/>
    <w:rsid w:val="00B775E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775E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775ED"/>
    <w:pPr>
      <w:keepNext/>
      <w:keepLines/>
      <w:spacing w:before="160" w:after="80" w:line="278" w:lineRule="auto"/>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775ED"/>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5">
    <w:name w:val="heading 5"/>
    <w:basedOn w:val="a"/>
    <w:next w:val="a"/>
    <w:link w:val="50"/>
    <w:uiPriority w:val="9"/>
    <w:semiHidden/>
    <w:unhideWhenUsed/>
    <w:qFormat/>
    <w:rsid w:val="00B775ED"/>
    <w:pPr>
      <w:keepNext/>
      <w:keepLines/>
      <w:spacing w:before="80" w:after="40" w:line="278" w:lineRule="auto"/>
      <w:outlineLvl w:val="4"/>
    </w:pPr>
    <w:rPr>
      <w:rFonts w:eastAsiaTheme="majorEastAsia" w:cstheme="majorBidi"/>
      <w:color w:val="0F4761" w:themeColor="accent1" w:themeShade="BF"/>
      <w:sz w:val="24"/>
      <w:szCs w:val="24"/>
    </w:rPr>
  </w:style>
  <w:style w:type="paragraph" w:styleId="6">
    <w:name w:val="heading 6"/>
    <w:basedOn w:val="a"/>
    <w:next w:val="a"/>
    <w:link w:val="60"/>
    <w:uiPriority w:val="9"/>
    <w:semiHidden/>
    <w:unhideWhenUsed/>
    <w:qFormat/>
    <w:rsid w:val="00B775ED"/>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7">
    <w:name w:val="heading 7"/>
    <w:basedOn w:val="a"/>
    <w:next w:val="a"/>
    <w:link w:val="70"/>
    <w:uiPriority w:val="9"/>
    <w:semiHidden/>
    <w:unhideWhenUsed/>
    <w:qFormat/>
    <w:rsid w:val="00B775ED"/>
    <w:pPr>
      <w:keepNext/>
      <w:keepLines/>
      <w:spacing w:before="40" w:after="0" w:line="278" w:lineRule="auto"/>
      <w:outlineLvl w:val="6"/>
    </w:pPr>
    <w:rPr>
      <w:rFonts w:eastAsiaTheme="majorEastAsia" w:cstheme="majorBidi"/>
      <w:color w:val="595959" w:themeColor="text1" w:themeTint="A6"/>
      <w:sz w:val="24"/>
      <w:szCs w:val="24"/>
    </w:rPr>
  </w:style>
  <w:style w:type="paragraph" w:styleId="8">
    <w:name w:val="heading 8"/>
    <w:basedOn w:val="a"/>
    <w:next w:val="a"/>
    <w:link w:val="80"/>
    <w:uiPriority w:val="9"/>
    <w:semiHidden/>
    <w:unhideWhenUsed/>
    <w:qFormat/>
    <w:rsid w:val="00B775ED"/>
    <w:pPr>
      <w:keepNext/>
      <w:keepLines/>
      <w:spacing w:after="0" w:line="278" w:lineRule="auto"/>
      <w:outlineLvl w:val="7"/>
    </w:pPr>
    <w:rPr>
      <w:rFonts w:eastAsiaTheme="majorEastAsia" w:cstheme="majorBidi"/>
      <w:i/>
      <w:iCs/>
      <w:color w:val="272727" w:themeColor="text1" w:themeTint="D8"/>
      <w:sz w:val="24"/>
      <w:szCs w:val="24"/>
    </w:rPr>
  </w:style>
  <w:style w:type="paragraph" w:styleId="9">
    <w:name w:val="heading 9"/>
    <w:basedOn w:val="a"/>
    <w:next w:val="a"/>
    <w:link w:val="90"/>
    <w:uiPriority w:val="9"/>
    <w:semiHidden/>
    <w:unhideWhenUsed/>
    <w:qFormat/>
    <w:rsid w:val="00B775ED"/>
    <w:pPr>
      <w:keepNext/>
      <w:keepLines/>
      <w:spacing w:after="0" w:line="278" w:lineRule="auto"/>
      <w:outlineLvl w:val="8"/>
    </w:pPr>
    <w:rPr>
      <w:rFonts w:eastAsiaTheme="majorEastAsia" w:cstheme="majorBidi"/>
      <w:color w:val="272727" w:themeColor="text1" w:themeTint="D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775ED"/>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B775ED"/>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B775ED"/>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B775ED"/>
    <w:rPr>
      <w:rFonts w:eastAsiaTheme="majorEastAsia" w:cstheme="majorBidi"/>
      <w:i/>
      <w:iCs/>
      <w:color w:val="0F4761" w:themeColor="accent1" w:themeShade="BF"/>
    </w:rPr>
  </w:style>
  <w:style w:type="character" w:customStyle="1" w:styleId="50">
    <w:name w:val="כותרת 5 תו"/>
    <w:basedOn w:val="a0"/>
    <w:link w:val="5"/>
    <w:uiPriority w:val="9"/>
    <w:semiHidden/>
    <w:rsid w:val="00B775ED"/>
    <w:rPr>
      <w:rFonts w:eastAsiaTheme="majorEastAsia" w:cstheme="majorBidi"/>
      <w:color w:val="0F4761" w:themeColor="accent1" w:themeShade="BF"/>
    </w:rPr>
  </w:style>
  <w:style w:type="character" w:customStyle="1" w:styleId="60">
    <w:name w:val="כותרת 6 תו"/>
    <w:basedOn w:val="a0"/>
    <w:link w:val="6"/>
    <w:uiPriority w:val="9"/>
    <w:semiHidden/>
    <w:rsid w:val="00B775ED"/>
    <w:rPr>
      <w:rFonts w:eastAsiaTheme="majorEastAsia" w:cstheme="majorBidi"/>
      <w:i/>
      <w:iCs/>
      <w:color w:val="595959" w:themeColor="text1" w:themeTint="A6"/>
    </w:rPr>
  </w:style>
  <w:style w:type="character" w:customStyle="1" w:styleId="70">
    <w:name w:val="כותרת 7 תו"/>
    <w:basedOn w:val="a0"/>
    <w:link w:val="7"/>
    <w:uiPriority w:val="9"/>
    <w:semiHidden/>
    <w:rsid w:val="00B775ED"/>
    <w:rPr>
      <w:rFonts w:eastAsiaTheme="majorEastAsia" w:cstheme="majorBidi"/>
      <w:color w:val="595959" w:themeColor="text1" w:themeTint="A6"/>
    </w:rPr>
  </w:style>
  <w:style w:type="character" w:customStyle="1" w:styleId="80">
    <w:name w:val="כותרת 8 תו"/>
    <w:basedOn w:val="a0"/>
    <w:link w:val="8"/>
    <w:uiPriority w:val="9"/>
    <w:semiHidden/>
    <w:rsid w:val="00B775ED"/>
    <w:rPr>
      <w:rFonts w:eastAsiaTheme="majorEastAsia" w:cstheme="majorBidi"/>
      <w:i/>
      <w:iCs/>
      <w:color w:val="272727" w:themeColor="text1" w:themeTint="D8"/>
    </w:rPr>
  </w:style>
  <w:style w:type="character" w:customStyle="1" w:styleId="90">
    <w:name w:val="כותרת 9 תו"/>
    <w:basedOn w:val="a0"/>
    <w:link w:val="9"/>
    <w:uiPriority w:val="9"/>
    <w:semiHidden/>
    <w:rsid w:val="00B775ED"/>
    <w:rPr>
      <w:rFonts w:eastAsiaTheme="majorEastAsia" w:cstheme="majorBidi"/>
      <w:color w:val="272727" w:themeColor="text1" w:themeTint="D8"/>
    </w:rPr>
  </w:style>
  <w:style w:type="paragraph" w:styleId="a3">
    <w:name w:val="Title"/>
    <w:basedOn w:val="a"/>
    <w:next w:val="a"/>
    <w:link w:val="a4"/>
    <w:uiPriority w:val="10"/>
    <w:qFormat/>
    <w:rsid w:val="00B775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B775E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75ED"/>
    <w:pPr>
      <w:numPr>
        <w:ilvl w:val="1"/>
      </w:numPr>
      <w:spacing w:line="278" w:lineRule="auto"/>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B775E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775ED"/>
    <w:pPr>
      <w:spacing w:before="160" w:line="278" w:lineRule="auto"/>
      <w:jc w:val="center"/>
    </w:pPr>
    <w:rPr>
      <w:i/>
      <w:iCs/>
      <w:color w:val="404040" w:themeColor="text1" w:themeTint="BF"/>
      <w:sz w:val="24"/>
      <w:szCs w:val="24"/>
    </w:rPr>
  </w:style>
  <w:style w:type="character" w:customStyle="1" w:styleId="a8">
    <w:name w:val="ציטוט תו"/>
    <w:basedOn w:val="a0"/>
    <w:link w:val="a7"/>
    <w:uiPriority w:val="29"/>
    <w:rsid w:val="00B775ED"/>
    <w:rPr>
      <w:i/>
      <w:iCs/>
      <w:color w:val="404040" w:themeColor="text1" w:themeTint="BF"/>
    </w:rPr>
  </w:style>
  <w:style w:type="paragraph" w:styleId="a9">
    <w:name w:val="List Paragraph"/>
    <w:basedOn w:val="a"/>
    <w:uiPriority w:val="34"/>
    <w:qFormat/>
    <w:rsid w:val="00B775ED"/>
    <w:pPr>
      <w:spacing w:line="278" w:lineRule="auto"/>
      <w:ind w:left="720"/>
      <w:contextualSpacing/>
    </w:pPr>
    <w:rPr>
      <w:sz w:val="24"/>
      <w:szCs w:val="24"/>
    </w:rPr>
  </w:style>
  <w:style w:type="character" w:styleId="aa">
    <w:name w:val="Intense Emphasis"/>
    <w:basedOn w:val="a0"/>
    <w:uiPriority w:val="21"/>
    <w:qFormat/>
    <w:rsid w:val="00B775ED"/>
    <w:rPr>
      <w:i/>
      <w:iCs/>
      <w:color w:val="0F4761" w:themeColor="accent1" w:themeShade="BF"/>
    </w:rPr>
  </w:style>
  <w:style w:type="paragraph" w:styleId="ab">
    <w:name w:val="Intense Quote"/>
    <w:basedOn w:val="a"/>
    <w:next w:val="a"/>
    <w:link w:val="ac"/>
    <w:uiPriority w:val="30"/>
    <w:qFormat/>
    <w:rsid w:val="00B775E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ac">
    <w:name w:val="ציטוט חזק תו"/>
    <w:basedOn w:val="a0"/>
    <w:link w:val="ab"/>
    <w:uiPriority w:val="30"/>
    <w:rsid w:val="00B775ED"/>
    <w:rPr>
      <w:i/>
      <w:iCs/>
      <w:color w:val="0F4761" w:themeColor="accent1" w:themeShade="BF"/>
    </w:rPr>
  </w:style>
  <w:style w:type="character" w:styleId="ad">
    <w:name w:val="Intense Reference"/>
    <w:basedOn w:val="a0"/>
    <w:uiPriority w:val="32"/>
    <w:qFormat/>
    <w:rsid w:val="00B775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882</Words>
  <Characters>4335</Characters>
  <Application>Microsoft Office Word</Application>
  <DocSecurity>0</DocSecurity>
  <Lines>64</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צביה שבט/Tzvia Shvat</dc:creator>
  <cp:keywords/>
  <dc:description/>
  <cp:lastModifiedBy>צביה שבט/Tzvia Shvat</cp:lastModifiedBy>
  <cp:revision>6</cp:revision>
  <dcterms:created xsi:type="dcterms:W3CDTF">2026-09-24T07:20:00Z</dcterms:created>
  <dcterms:modified xsi:type="dcterms:W3CDTF">2026-09-24T07:55:00Z</dcterms:modified>
</cp:coreProperties>
</file>